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ea654356fdd02b10a2f11aeeb13f462f96549"/>
    <w:p>
      <w:pPr>
        <w:pStyle w:val="Heading3"/>
      </w:pPr>
      <w:r>
        <w:t xml:space="preserve">Собранные за патенты деньги и налоги с аренды квартир возвращаются в районы столицы</w:t>
      </w:r>
    </w:p>
    <w:p>
      <w:pPr>
        <w:pStyle w:val="FirstParagraph"/>
      </w:pPr>
      <w:r>
        <w:t xml:space="preserve">25.03.2015</w:t>
      </w:r>
    </w:p>
    <w:p>
      <w:pPr>
        <w:pStyle w:val="BodyText"/>
      </w:pPr>
      <w:r>
        <w:t xml:space="preserve">Мэр Москвы Сергей Собянин утвердил очередной транш дополнительного финансирования 125 районов города за счет средств, поступивших в бюджет Москвы от реализации на местах важнейших городских программ.</w:t>
      </w:r>
      <w:r>
        <w:br/>
      </w:r>
      <w:r>
        <w:br/>
      </w:r>
      <w:r>
        <w:t xml:space="preserve">Как было отмечено на заседании Правительства Москвы, рассмотревшем итоги реализации проекта по стимулированию управ районов в 2014 году, в боль-шинстве административных округов и районов города наблюдается положительная динамика по всем ключевым направлениям. Это налоговые поступления от предпринимателей, использующих патентную систему налогообложения, налоги на доходы с аренды квартир, уплачиваемые жителями районов, поступления от штрафов за недобросовестное выполнение подрядчиками работ на территориях.</w:t>
      </w:r>
      <w:r>
        <w:br/>
      </w:r>
      <w:r>
        <w:t xml:space="preserve">Общая сумма, доступная к расходованию местными органами власти с уче-том II полугодия 2014 года и неиспользованных остатков прошлых периодов соста-вила почти 2 млрд. рублей (1961 млн. рублей). Средства дополнительного финанси-рования будут направлены именно в те районы, в которых они были собраны. Тем самым обеспечивается стимулирование местных органов власти по реализации ключевых городских проектов.</w:t>
      </w:r>
      <w:r>
        <w:br/>
      </w:r>
      <w:r>
        <w:t xml:space="preserve">Увеличение поступлений в бюджет по патентам по отношению к первому полугодию составило почти 30%. Это показатель роста доверия предпринимателей к патентной системе. За этим результатом стоит большая разъяснительная работа в отдельных округах. При этом лидерами по числу приобретенных патентов стали Северо-Восточный и Восточный административные округа, а также ТиНАО. По районам лучшие показатели у Троицка (ТиНАО), Бибирево (СВАО), Щербинки (ТиНАО), Марьино (ЮВАО), Бабушкинский (СВАО). В пересчете на 1000 жителей лучшие показатели у ТиНАО, худшие – в ЮАО и ЮЗАО.</w:t>
      </w:r>
      <w:r>
        <w:br/>
      </w:r>
      <w:r>
        <w:t xml:space="preserve">Объем стимулирования за счет налога на доходы физических лиц от сдачи жилых помещений в аренду составил во II полугодии 165 млн рублей. Здесь есть хороший резерв для роста, учитывая, что проект по легализации рынка аренды жилья развивается успешно. Лучшие результаты в расчете на одного жителя у СЗАО, ЮЗАО и ЗАО.</w:t>
      </w:r>
      <w:r>
        <w:br/>
      </w:r>
      <w:r>
        <w:t xml:space="preserve">Общий объем распределения по штрафам за несоблюдение контрактной дисциплины по итогам II полугодия составил 150 млн. рублей. Лучшие результаты в пересчете на душу населения у ЦАО, САО и ЮВАО.</w:t>
      </w:r>
      <w:r>
        <w:br/>
      </w:r>
      <w:r>
        <w:t xml:space="preserve">Как подчеркнул Министр Правительства Москвы, руководитель Департамента экономической политики и развития Максим Решетников, указанные средства – это серьезное дополнительное финансирование наших районов, предназначенное на благоустройство дворов и капитальный ремонт жилого фонда. В этой связи город вправе ожидать большей активности от самих москвичей и муниципальных депутатов по всем ключевым направлениям, включенным в программу стимулирования управ.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http://bv.mos.ru/economics-and-consumer/detail/1686501.html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conomics-and-consumer/detail/16865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conomics-and-consumer/detail/16865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2025-07-20T18:34:17Z</dcterms:created>
  <dcterms:modified xsi:type="dcterms:W3CDTF">2025-07-20T18:34:17Z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