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онкурс-торговая-россия"/>
    <w:p>
      <w:pPr>
        <w:pStyle w:val="Heading3"/>
      </w:pPr>
      <w:r>
        <w:t xml:space="preserve">Конкурс «Торговая Россия»</w:t>
      </w:r>
    </w:p>
    <w:p>
      <w:pPr>
        <w:pStyle w:val="FirstParagraph"/>
      </w:pPr>
      <w:r>
        <w:t xml:space="preserve">05.03.2019</w:t>
      </w:r>
    </w:p>
    <w:p>
      <w:pPr>
        <w:pStyle w:val="BodyText"/>
      </w:pPr>
      <w:r>
        <w:drawing>
          <wp:inline>
            <wp:extent cx="5156390" cy="68683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Торговля%20Росси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390" cy="68683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http://bv.mos.ru/economics-and-consumer/detail/7928313.html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economics-and-consumer/detail/79283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economics-and-consumer/detail/79283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2025-06-18T12:52:34Z</dcterms:created>
  <dcterms:modified xsi:type="dcterms:W3CDTF">2025-06-18T12:52:34Z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