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25285bc5971c49f72d0cc82eea735529d83add"/>
    <w:p>
      <w:pPr>
        <w:pStyle w:val="Heading3"/>
      </w:pPr>
      <w:r>
        <w:t xml:space="preserve">На одно место в Мосгордуме будут претендовать шесть кандидатов</w:t>
      </w:r>
    </w:p>
    <w:p>
      <w:pPr>
        <w:pStyle w:val="FirstParagraph"/>
      </w:pPr>
      <w:r>
        <w:t xml:space="preserve">23.07.2014</w:t>
      </w:r>
    </w:p>
    <w:p>
      <w:pPr>
        <w:pStyle w:val="BodyText"/>
      </w:pPr>
      <w:r>
        <w:t xml:space="preserve">Мосгоризбирком подвел итоги регистрации кандидатов на выборах в МГД. По завершению работы окружных комиссий удостоверение кандидатов получили 273 человека. Из них 224 человека выдвинуты политическими партиями, еще 49 зарегистрированных кандидатов – самовыдвиженцы. В итоге на одно место в городском парламенте претендуют 6 человек.</w:t>
      </w:r>
    </w:p>
    <w:p>
      <w:pPr>
        <w:pStyle w:val="BodyText"/>
      </w:pPr>
      <w:r>
        <w:t xml:space="preserve">Отказано в регистрации всего лишь 15 кандидатам (из них 12 самовыдвиженцев). У шести из этих 12 обнаружены фальшивые подписи, остальные же просто принесли недостаточное количество подписных листов.</w:t>
      </w:r>
    </w:p>
    <w:p>
      <w:pPr>
        <w:pStyle w:val="BodyText"/>
      </w:pPr>
      <w:r>
        <w:t xml:space="preserve">«Шести кандидатам отказано в связи с тем, что фальсифицированных подписей более 10%. Тут и умершие люди, и несуществующие и проживающие в других районах. На прошлых выборах было отказано 46% кандидатов, тут же всего 12 кандидатам. Это в пять раз ниже», - заявил Валентин Горбунов.</w:t>
      </w:r>
    </w:p>
    <w:p>
      <w:pPr>
        <w:pStyle w:val="BodyText"/>
      </w:pPr>
      <w:r>
        <w:t xml:space="preserve">В выборах примут участие, кроме кандидатов-самовыдвиженцев, представители 10 партий: «Справедливой России» (44 кандидата), Яблоко (44 кандидата) «Единой России» (32 кандидата), ЛДПР (45 кандидатов), КПРФ (45 кандидатов), Родина (4 кандидата), Зеленые (1 кандидат), Социал-демократическая партия (1 человек), «Гражданская платформа» (6 кандидатов), «Гражданская сила» (2 кандидата).</w:t>
      </w:r>
    </w:p>
    <w:p>
      <w:pPr>
        <w:pStyle w:val="BodyText"/>
      </w:pPr>
      <w:r>
        <w:t xml:space="preserve">Глава МГИК особо подчеркнул, что при проверке документов кандидатов комиссия руководствовалось законом и принципами равного подхода ко всем гражданам и партиям, пожелавшим принять участие в выборах.</w:t>
      </w:r>
    </w:p>
    <w:p>
      <w:pPr>
        <w:pStyle w:val="BodyText"/>
      </w:pPr>
      <w:r>
        <w:t xml:space="preserve">Также МГИК несколько раз писал инструкции в ОИК с разъяснением, что подход ко всем кандидатам в ходе проверки подписных листов должен быть одинаковый, вне зависимости от политических взглядов.</w:t>
      </w:r>
    </w:p>
    <w:p>
      <w:pPr>
        <w:pStyle w:val="BodyText"/>
      </w:pPr>
      <w:r>
        <w:t xml:space="preserve">Этими же принципами, по словам главы МГИК, комиссия намерена руководствоваться и в дальнейшем. В частности, во время агитационного периода и самого голосования. Всем кандидатам будут предоставлены равные возможности для агитации – бесплатные площади в газетах и эфир на телевидении. Все жалобы кандидатов на недобросовестную конкуренцию или «административный ресурс» будут рассматриваться публично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v.mos.ru/www/elections/IMG_373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v.mos.ru/www/elections/IMG_375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http://bv.mos.ru/elections/detail/1138201.html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bv.mos.ru" TargetMode="External" /><Relationship Type="http://schemas.openxmlformats.org/officeDocument/2006/relationships/hyperlink" Id="rId26" Target="http://bv.mos.ru/elections/detail/11382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v.mos.ru" TargetMode="External" /><Relationship Type="http://schemas.openxmlformats.org/officeDocument/2006/relationships/hyperlink" Id="rId26" Target="http://bv.mos.ru/elections/detail/11382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2025-08-02T11:15:52Z</dcterms:created>
  <dcterms:modified xsi:type="dcterms:W3CDTF">2025-08-02T11:15:52Z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