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4b4f372dc5fd3d679b87fd99b6775bec549d66"/>
    <w:p>
      <w:pPr>
        <w:pStyle w:val="Heading3"/>
      </w:pPr>
      <w:r>
        <w:t xml:space="preserve">Распоряжение о внесении изменений в распоряжение управы района Бирюлево Восточное от 21 декабря 2012 г.№ 01-05-78 "Об образовании избирательных участков на территории района Бирюлево Восточное города Москвы"</w:t>
      </w:r>
    </w:p>
    <w:p>
      <w:pPr>
        <w:pStyle w:val="FirstParagraph"/>
      </w:pPr>
      <w:r>
        <w:t xml:space="preserve">30.05.2024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http://bv.mos.ru/elections/detail/12396819.html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3968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3968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2025-08-02T11:16:27Z</dcterms:created>
  <dcterms:modified xsi:type="dcterms:W3CDTF">2025-08-02T11:16:27Z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