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ddc60d5acbb1e1ba4f62fb3c23621df240046"/>
    <w:p>
      <w:pPr>
        <w:pStyle w:val="Heading3"/>
      </w:pPr>
      <w:r>
        <w:t xml:space="preserve">План основных мероприятий, проводимых в районе Бирюлево Восточное с 04.12.2023 по 10.12.2023 года</w:t>
      </w:r>
    </w:p>
    <w:p>
      <w:pPr>
        <w:pStyle w:val="FirstParagraph"/>
      </w:pPr>
      <w:r>
        <w:t xml:space="preserve">29.11.2023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04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05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 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  ул. Липецкая,д. 24, корп. 2, кв. 288, помещение ГБУ ЦД «Личность»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Турнир по шахматам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06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 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Рабочая группа в районе Бирюлево Восточное города Москвы по координации совместной деятельности</w:t>
                  </w:r>
                  <w:r>
                    <w:br/>
                  </w:r>
                  <w:r>
                    <w:t xml:space="preserve">и розыску граждан, уклоняющихся от мероприятий, связанных с призывом на военную службу осенью 2023 года, а также приобретших гражданство РФ и уклоняющихся от постановки на воинский учет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 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 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09  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 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                                                               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http://bv.mos.ru/events/detail/12012500.html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012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012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2025-04-08T22:18:55Z</dcterms:created>
  <dcterms:modified xsi:type="dcterms:W3CDTF">2025-04-08T22:18:55Z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