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a53f1e56dde56c54a5ec41d5dbb17f05d6e08"/>
    <w:p>
      <w:pPr>
        <w:pStyle w:val="Heading3"/>
      </w:pPr>
      <w:r>
        <w:t xml:space="preserve">План основных мероприятий, проводимых в районе Бирюлево Восточное с 10.03.2025 по 16.03.2025 года</w:t>
      </w:r>
    </w:p>
    <w:p>
      <w:pPr>
        <w:pStyle w:val="FirstParagraph"/>
      </w:pPr>
      <w:r>
        <w:t xml:space="preserve">18.03.2025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ЖКХиБ и строительства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Загорьевский пр-д, д. 4 (актовый зал в научно-информационном центре ФГБНУ ФНЦ)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«Встреча весны»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М.Ю.— руководитель аппарата Совета депутатов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 д. 40;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 д. 46,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Обход территории района с жителями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</w:t>
            </w:r>
          </w:p>
          <w:p>
            <w:pPr>
              <w:jc w:val="left"/>
            </w:pPr>
            <w:r>
              <w:t xml:space="preserve">Тюрников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http://bv.mos.ru/events/detail/12863365.html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863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863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2025-08-02T13:13:38Z</dcterms:created>
  <dcterms:modified xsi:type="dcterms:W3CDTF">2025-08-02T13:13:38Z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