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b35723eb0a922edd09b0c580874b31fef8d54"/>
    <w:p>
      <w:pPr>
        <w:pStyle w:val="Heading3"/>
      </w:pPr>
      <w:r>
        <w:t xml:space="preserve">План основных мероприятий, проводимых в районе Бирюлево Восточное с 12.04.2021 по 18.04.2021 года</w:t>
      </w:r>
    </w:p>
    <w:p>
      <w:pPr>
        <w:pStyle w:val="FirstParagraph"/>
      </w:pPr>
      <w:r>
        <w:t xml:space="preserve">06.04.2021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12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12.00</w:t>
            </w:r>
            <w:r>
              <w:br/>
            </w:r>
            <w:r>
              <w:t xml:space="preserve">ГБОУ школа № 1861 «Загорье»,</w:t>
            </w:r>
          </w:p>
          <w:p>
            <w:pPr>
              <w:pStyle w:val="BlockText"/>
              <w:jc w:val="left"/>
            </w:pPr>
            <w:r>
              <w:t xml:space="preserve">Михневская ул., д. 8,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Открытый турнир по дартс «Через тернии к звездам», посвященный Дню космонавтики и 60-летию первого полета человека в космос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 зам. директора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13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  <w:r>
              <w:br/>
            </w:r>
            <w:r>
              <w:t xml:space="preserve">ул. Михневская, д.5, корп.1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Очередное заседание Совета депутатов муниципального округа Бирюлево Восточное</w:t>
            </w:r>
          </w:p>
          <w:p>
            <w:pPr>
              <w:pStyle w:val="BlockText"/>
              <w:jc w:val="left"/>
            </w:pPr>
            <w:r>
              <w:br/>
            </w:r>
            <w:r>
              <w:rPr>
                <w:u w:val="single"/>
                <w:bCs/>
                <w:b/>
              </w:rPr>
              <w:t xml:space="preserve">Повестка дня:</w:t>
            </w:r>
          </w:p>
          <w:p>
            <w:pPr>
              <w:pStyle w:val="BlockText"/>
              <w:jc w:val="left"/>
            </w:pPr>
            <w:r>
              <w:t xml:space="preserve">1. О заслушивании информации директора ГБУ ДСЦ «Дружба» о работе центра в 2020 году.</w:t>
            </w:r>
          </w:p>
          <w:p>
            <w:pPr>
              <w:pStyle w:val="BlockText"/>
              <w:jc w:val="left"/>
            </w:pPr>
            <w:r>
              <w:rPr>
                <w:iCs/>
                <w:i/>
              </w:rPr>
              <w:t xml:space="preserve">Докладчик: Рытов С.В.</w:t>
            </w:r>
            <w:r>
              <w:br/>
            </w:r>
            <w:r>
              <w:rPr>
                <w:iCs/>
                <w:i/>
              </w:rPr>
              <w:t xml:space="preserve">Отв.: Зайнетдинов М.В.</w:t>
            </w:r>
          </w:p>
          <w:p>
            <w:pPr>
              <w:pStyle w:val="BlockText"/>
              <w:jc w:val="left"/>
            </w:pPr>
            <w:r>
              <w:t xml:space="preserve">2. Об исполнении бюджета муниципального округа Бирюлево Восточное за 1 квартал 2021 года.</w:t>
            </w:r>
          </w:p>
          <w:p>
            <w:pPr>
              <w:pStyle w:val="BlockText"/>
              <w:jc w:val="left"/>
            </w:pPr>
            <w:r>
              <w:rPr>
                <w:iCs/>
                <w:i/>
              </w:rPr>
              <w:t xml:space="preserve">Докладчик: Дрябкова О.Д./ Кузина М.Ю.</w:t>
            </w:r>
            <w:r>
              <w:br/>
            </w:r>
            <w:r>
              <w:rPr>
                <w:iCs/>
                <w:i/>
              </w:rPr>
              <w:t xml:space="preserve">Отв.: Иванова Е.А.</w:t>
            </w:r>
          </w:p>
          <w:p>
            <w:pPr>
              <w:pStyle w:val="BlockText"/>
              <w:jc w:val="left"/>
            </w:pPr>
            <w:r>
              <w:t xml:space="preserve">3. О проекте решения об исполнении бюджета муниципального округа Бирюлево Восточное за 2020 год и назначении публичных слушаний.</w:t>
            </w:r>
          </w:p>
          <w:p>
            <w:pPr>
              <w:pStyle w:val="BlockText"/>
              <w:jc w:val="left"/>
            </w:pPr>
            <w:r>
              <w:rPr>
                <w:iCs/>
                <w:i/>
              </w:rPr>
              <w:t xml:space="preserve">Докладчик: Дрябкова О.Д./</w:t>
            </w:r>
            <w:r>
              <w:br/>
            </w:r>
            <w:r>
              <w:rPr>
                <w:iCs/>
                <w:i/>
              </w:rPr>
              <w:t xml:space="preserve">Кузина М.Ю.</w:t>
            </w:r>
            <w:r>
              <w:br/>
            </w:r>
            <w:r>
              <w:rPr>
                <w:iCs/>
                <w:i/>
              </w:rPr>
              <w:t xml:space="preserve">Отв.: Иванова Е.А.</w:t>
            </w:r>
          </w:p>
          <w:p>
            <w:pPr>
              <w:pStyle w:val="BlockText"/>
              <w:jc w:val="left"/>
            </w:pPr>
            <w:r>
              <w:t xml:space="preserve">4.</w:t>
            </w:r>
            <w:r>
              <w:t xml:space="preserve"> </w:t>
            </w:r>
            <w:r>
              <w:rPr>
                <w:bCs/>
                <w:b/>
              </w:rPr>
              <w:t xml:space="preserve">О согласовании проекта изменения схемы размещения нестационарных торговых объектов</w:t>
            </w:r>
            <w:r>
              <w:t xml:space="preserve"> </w:t>
            </w:r>
            <w:r>
              <w:t xml:space="preserve">Елочный базар.</w:t>
            </w:r>
          </w:p>
          <w:p>
            <w:pPr>
              <w:pStyle w:val="BlockText"/>
              <w:jc w:val="left"/>
            </w:pPr>
            <w:r>
              <w:rPr>
                <w:iCs/>
                <w:i/>
              </w:rPr>
              <w:t xml:space="preserve">Докладчик: Глазков А.В.</w:t>
            </w:r>
            <w:r>
              <w:br/>
            </w:r>
            <w:r>
              <w:rPr>
                <w:iCs/>
                <w:i/>
              </w:rPr>
              <w:t xml:space="preserve">Отв.: Нерсесова Е.В.</w:t>
            </w:r>
          </w:p>
          <w:p>
            <w:pPr>
              <w:pStyle w:val="BlockText"/>
              <w:jc w:val="left"/>
            </w:pPr>
            <w:r>
              <w:t xml:space="preserve">5. О внесении изменений в схему размещения нестационарных торговых объектов со специализацией «Печать».</w:t>
            </w:r>
          </w:p>
          <w:p>
            <w:pPr>
              <w:pStyle w:val="BlockText"/>
              <w:jc w:val="left"/>
            </w:pPr>
            <w:r>
              <w:rPr>
                <w:iCs/>
                <w:i/>
              </w:rPr>
              <w:t xml:space="preserve">Докладчик: Глазков В.А.</w:t>
            </w:r>
            <w:r>
              <w:br/>
            </w:r>
            <w:r>
              <w:rPr>
                <w:iCs/>
                <w:i/>
              </w:rPr>
              <w:t xml:space="preserve">Отв.: Нерсесова Е.В.</w:t>
            </w:r>
          </w:p>
          <w:p>
            <w:pPr>
              <w:pStyle w:val="BlockText"/>
              <w:jc w:val="left"/>
            </w:pPr>
            <w:r>
              <w:t xml:space="preserve">6.</w:t>
            </w:r>
            <w:r>
              <w:t xml:space="preserve"> </w:t>
            </w:r>
            <w:r>
              <w:rPr>
                <w:bCs/>
                <w:b/>
              </w:rPr>
              <w:t xml:space="preserve">О согласовании направления средств стимулирования управы района Бирюлево Восточное города Москвы в 2021 году.</w:t>
            </w:r>
          </w:p>
          <w:p>
            <w:pPr>
              <w:pStyle w:val="BlockText"/>
              <w:jc w:val="left"/>
            </w:pPr>
            <w:r>
              <w:rPr>
                <w:iCs/>
                <w:i/>
              </w:rPr>
              <w:t xml:space="preserve">Докладчик: Канаев К.В.</w:t>
            </w:r>
            <w:r>
              <w:br/>
            </w:r>
            <w:r>
              <w:rPr>
                <w:iCs/>
                <w:i/>
              </w:rPr>
              <w:t xml:space="preserve">Отв.: Нерсесова Е.В.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  <w:r>
              <w:br/>
            </w:r>
            <w:r>
              <w:t xml:space="preserve">Помещение ГБУ ДСЦ «Дружба», Михневский проезд, д. 6, кв. 51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прикладного творчества «Экспериментаторы», посвященный Дню космонавтики и 60-летию первого полета человека в космос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 зам. директора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14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  <w:r>
              <w:br/>
            </w:r>
            <w:r>
              <w:t xml:space="preserve">Помещение ГБУ ДСЦ «Дружба», Липецкая ул., д. 40, кв. 70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Тренинг на тему: «Как избегать и предупреждать конфликтные ситуации на работе и в обыденной жизни»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 зам. директора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14.30</w:t>
            </w:r>
            <w:r>
              <w:br/>
            </w:r>
            <w:r>
              <w:t xml:space="preserve">ГБУК г. Москвы «ЦБС ЮАО», 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Конкурс чтецов «Дети читают классику». Гала-концерт. Подведение итогов, награждение победителей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 зам. директора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  <w:r>
              <w:br/>
            </w:r>
            <w:r>
              <w:t xml:space="preserve">Верхний и Нижний</w:t>
            </w:r>
          </w:p>
          <w:p>
            <w:pPr>
              <w:pStyle w:val="BlockText"/>
              <w:jc w:val="left"/>
            </w:pPr>
            <w:r>
              <w:t xml:space="preserve">Бирюлевские пруды,</w:t>
            </w:r>
          </w:p>
          <w:p>
            <w:pPr>
              <w:pStyle w:val="BlockText"/>
              <w:jc w:val="left"/>
            </w:pPr>
            <w:r>
              <w:t xml:space="preserve">Михневская ул., д. 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Экологическая акция «Субботник 2021»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 зам. директора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18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http://bv.mos.ru/events/detail/9843481.html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843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843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2024-07-17T12:13:41Z</dcterms:created>
  <dcterms:modified xsi:type="dcterms:W3CDTF">2024-07-17T12:13:41Z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