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9ac55707c405df4ea280ed30fdbafbd0b9f900"/>
    <w:p>
      <w:pPr>
        <w:pStyle w:val="Heading3"/>
      </w:pPr>
      <w:r>
        <w:t xml:space="preserve">Проект размещения ограждающего устройства (1-го шлагбаума) на придомовой территории многоквартирного дома по адресу: Москва, улица Касимовская, д.41</w:t>
      </w:r>
    </w:p>
    <w:p>
      <w:pPr>
        <w:pStyle w:val="FirstParagraph"/>
      </w:pPr>
      <w:r>
        <w:t xml:space="preserve">07.08.2024</w:t>
      </w:r>
    </w:p>
    <w:p>
      <w:pPr>
        <w:pStyle w:val="BodyText"/>
      </w:pPr>
      <w:r>
        <w:rPr>
          <w:bCs/>
          <w:b/>
        </w:rPr>
        <w:t xml:space="preserve">1. Установка автоматического электромеханического шлагбаума с приводом</w:t>
      </w:r>
    </w:p>
    <w:p>
      <w:pPr>
        <w:pStyle w:val="BodyText"/>
      </w:pPr>
      <w:bookmarkStart w:id="20" w:name="X44566d13f56957954f48a29c25f8bd471ee50f5"/>
      <w:r>
        <w:t xml:space="preserve">Целью установки заграждающего устройства (шлагбаума) является предотвращение использование придомовой территории,</w:t>
      </w:r>
      <w:r>
        <w:t xml:space="preserve"> </w:t>
      </w:r>
      <w:r>
        <w:rPr>
          <w:bCs/>
          <w:b/>
        </w:rPr>
        <w:t xml:space="preserve">в том числе площадки для разворота спецтехники</w:t>
      </w:r>
      <w:r>
        <w:t xml:space="preserve">, в качестве перехватывающей парковки, а также бесплатной спонтанной парковки газелей и такси со всего района.</w:t>
      </w:r>
      <w:bookmarkEnd w:id="20"/>
    </w:p>
    <w:p>
      <w:pPr>
        <w:pStyle w:val="BodyText"/>
      </w:pPr>
      <w:r>
        <w:t xml:space="preserve">Круглосуточный и беспрепятственный проезд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 будет обеспечен. Препятствий и ограничений для прохода пешеходов не будет.</w:t>
      </w:r>
    </w:p>
    <w:p>
      <w:pPr>
        <w:pStyle w:val="BodyText"/>
      </w:pPr>
      <w:r>
        <w:rPr>
          <w:bCs/>
          <w:b/>
        </w:rPr>
        <w:t xml:space="preserve">1.1. Ситуационный план и схема размещения</w:t>
      </w:r>
    </w:p>
    <w:p>
      <w:pPr>
        <w:pStyle w:val="BodyText"/>
      </w:pPr>
      <w:r>
        <w:t xml:space="preserve">В соответствии с Проектом межевания (корректировка) территории части квартала района Бирюлево Восточное, ограниченного улицей Касимовская, улицей Донбасская, улицей Бирюлевская (утверждено распоряжением Департамента городского имущества города Москвы № 26063 от 27.07.2020г.)</w:t>
      </w:r>
      <w:r>
        <w:t xml:space="preserve"> </w:t>
      </w:r>
      <w:r>
        <w:rPr>
          <w:bCs/>
          <w:b/>
        </w:rPr>
        <w:t xml:space="preserve">участок № 27</w:t>
      </w:r>
      <w:r>
        <w:t xml:space="preserve"> </w:t>
      </w:r>
      <w:r>
        <w:t xml:space="preserve">площадью 0,791 га устанавливается для эксплуатации многоквартирного жилого дома, расположенного по адресу: улица Касимовская, дом 41.</w:t>
      </w:r>
    </w:p>
    <w:p>
      <w:pPr>
        <w:pStyle w:val="BodyText"/>
      </w:pPr>
      <w:r>
        <w:t xml:space="preserve">Рис.1 Схема размещения</w:t>
      </w:r>
    </w:p>
    <w:p>
      <w:pPr>
        <w:pStyle w:val="BodyText"/>
      </w:pPr>
      <w:r>
        <w:drawing>
          <wp:inline>
            <wp:extent cx="5334000" cy="32636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bv.mos.ru/www/Снимок%20экрана%20(10)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3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1.1. Технические характеристики шлагбаума</w:t>
      </w:r>
    </w:p>
    <w:p>
      <w:pPr>
        <w:pStyle w:val="BodyText"/>
      </w:pPr>
      <w:r>
        <w:rPr>
          <w:bCs/>
          <w:b/>
        </w:rPr>
        <w:t xml:space="preserve">ОТКАТНОЙ АНТИВАНДАЛЬНЫЙ ШЛАГБАУМ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1.1.1. Тип шлагбаума: Шлагбаум автоматический, откатной с электромеханическим приводом.</w:t>
      </w:r>
      <w:r>
        <w:t xml:space="preserve"> </w:t>
      </w:r>
      <w:r>
        <w:t xml:space="preserve">Шлагбаум состоит из Металлической стрелы и стальной стойки, установленной на бетонное основание и закреплённой̆ болтами, вмонтированный в бетонное основание. В стойке шлагбаума находится электромеханическим привод, а также блок электронного управления. Привод, перемещающий̆ стрелу, состоит из электродвигателя. Шлагбаум снабжен регулируемым устройством безопасности, а также устройством фиксации стрелы в любом положении и ручной̆ расцепитель для работы в случае отсутствия электроэнергии.</w:t>
      </w:r>
    </w:p>
    <w:p>
      <w:pPr>
        <w:pStyle w:val="BodyText"/>
      </w:pPr>
      <w:r>
        <w:rPr>
          <w:bCs/>
          <w:b/>
        </w:rPr>
        <w:t xml:space="preserve">Назначение:</w:t>
      </w:r>
      <w:r>
        <w:t xml:space="preserve"> </w:t>
      </w:r>
      <w:r>
        <w:t xml:space="preserve">шлагбаум предназначен для перекрытия проездов шириной от 2500 до 6500мм. Шлагбаум может использоваться в ручном и автоматическом режиме.</w:t>
      </w:r>
    </w:p>
    <w:p>
      <w:pPr>
        <w:pStyle w:val="BodyText"/>
      </w:pPr>
      <w:r>
        <w:rPr>
          <w:bCs/>
          <w:b/>
        </w:rPr>
        <w:t xml:space="preserve">Конструкция:</w:t>
      </w:r>
      <w:r>
        <w:t xml:space="preserve"> </w:t>
      </w:r>
      <w:r>
        <w:t xml:space="preserve">Шлагбаум имеет тумбу-основание, представляющую собой рамную конструкцию, внутри которой находятся направляющие ролики, по которым движется стрела шлагбаума. Тумба-основание может закрываться металлическим антивандальным кожухом. Стрела шлагбаума выполняется из стальной профильной трубы. Вся конструкция окрашивается порошковой полимерной краской.</w:t>
      </w:r>
    </w:p>
    <w:p>
      <w:pPr>
        <w:pStyle w:val="BodyText"/>
      </w:pPr>
      <w:r>
        <w:t xml:space="preserve">В закрытом положении блокировка шлагбаума от открывания обеспечивается навесным замком (при эксплуатации в ручном режиме) или встроенной блокировкой электродвигателя.</w:t>
      </w:r>
    </w:p>
    <w:p>
      <w:pPr>
        <w:pStyle w:val="BodyText"/>
      </w:pPr>
      <w:r>
        <w:t xml:space="preserve">При ширине более 3000мм шлагбаум комплектуется приемной стойкой, обеспечивающей фиксацию стрелы в закрытом положении.</w:t>
      </w:r>
    </w:p>
    <w:p>
      <w:pPr>
        <w:pStyle w:val="BodyText"/>
      </w:pPr>
      <w:r>
        <w:t xml:space="preserve">При комплектации шлагбаума электроприводом (рекомендованы привода фирм BFT, Nice, FAAC) шлагбаум может использоваться в автоматическом режиме. Управление при этом происходит с пульта дистанционного управления, выносной кнопки на посту охраны или удаленного диспетчера.</w:t>
      </w:r>
    </w:p>
    <w:p>
      <w:pPr>
        <w:pStyle w:val="BodyText"/>
      </w:pPr>
      <w:r>
        <w:rPr>
          <w:bCs/>
          <w:b/>
        </w:rPr>
        <w:t xml:space="preserve">Технические характеристики:</w:t>
      </w:r>
      <w:r>
        <w:t xml:space="preserve"> </w:t>
      </w:r>
      <w:r>
        <w:t xml:space="preserve">Тумба шлагбаума в комплекте с направляющими роликами: размер 1100х400х1000, зашита листом 2 мм, имеет окно для обслуживания привода с запиранием на встроенный замок. стандартный цвет - оранжевый, приемная стойка: труба 80 х 40 х 3, укомплектована уловителем для стрелы, стрела для проездов до 4 000 мм: горизонтальные связи – 40 х 40 х 2, вертикальные – 40 х 40 х1.5, окраска, стандартный цвет - оранжевый, оцинкованная зубчатая рейка (пр-во Италия) в комплекте. Скорость открывания\закрывания: 0.15-0.6 м\с (зависит от модели привода).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Характеристика</w:t>
            </w:r>
          </w:p>
        </w:tc>
        <w:tc>
          <w:tcPr/>
          <w:p>
            <w:pPr>
              <w:jc w:val="left"/>
            </w:pPr>
            <w:r>
              <w:t xml:space="preserve">Ед.изм.</w:t>
            </w:r>
          </w:p>
        </w:tc>
        <w:tc>
          <w:tcPr/>
          <w:p>
            <w:pPr>
              <w:jc w:val="left"/>
            </w:pPr>
            <w:r>
              <w:t xml:space="preserve">Величина</w:t>
            </w:r>
          </w:p>
        </w:tc>
      </w:tr>
      <w:tr>
        <w:tc>
          <w:tcPr/>
          <w:p>
            <w:pPr>
              <w:jc w:val="left"/>
            </w:pPr>
            <w:r>
              <w:t xml:space="preserve">Питание / Питание двигателя</w:t>
            </w:r>
          </w:p>
        </w:tc>
        <w:tc>
          <w:tcPr/>
          <w:p>
            <w:pPr>
              <w:jc w:val="left"/>
            </w:pPr>
            <w:r>
              <w:t xml:space="preserve">В</w:t>
            </w:r>
          </w:p>
        </w:tc>
        <w:tc>
          <w:tcPr/>
          <w:p>
            <w:pPr>
              <w:jc w:val="left"/>
            </w:pPr>
            <w:r>
              <w:t xml:space="preserve">230 / 24</w:t>
            </w:r>
          </w:p>
        </w:tc>
      </w:tr>
      <w:tr>
        <w:tc>
          <w:tcPr/>
          <w:p>
            <w:pPr>
              <w:jc w:val="left"/>
            </w:pPr>
            <w:r>
              <w:t xml:space="preserve">Мощность</w:t>
            </w:r>
          </w:p>
        </w:tc>
        <w:tc>
          <w:tcPr/>
          <w:p>
            <w:pPr>
              <w:jc w:val="left"/>
            </w:pPr>
            <w:r>
              <w:t xml:space="preserve">Вт</w:t>
            </w:r>
          </w:p>
        </w:tc>
        <w:tc>
          <w:tcPr/>
          <w:p>
            <w:pPr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jc w:val="left"/>
            </w:pPr>
            <w:r>
              <w:t xml:space="preserve">Потребление</w:t>
            </w:r>
          </w:p>
        </w:tc>
        <w:tc>
          <w:tcPr/>
          <w:p>
            <w:pPr>
              <w:jc w:val="left"/>
            </w:pPr>
            <w:r>
              <w:t xml:space="preserve">А</w:t>
            </w:r>
          </w:p>
        </w:tc>
        <w:tc>
          <w:tcPr/>
          <w:p>
            <w:pPr>
              <w:jc w:val="left"/>
            </w:pPr>
            <w:r>
              <w:t xml:space="preserve">1,1</w:t>
            </w:r>
          </w:p>
        </w:tc>
      </w:tr>
      <w:tr>
        <w:tc>
          <w:tcPr/>
          <w:p>
            <w:pPr>
              <w:jc w:val="left"/>
            </w:pPr>
            <w:r>
              <w:t xml:space="preserve">Класс защиты</w:t>
            </w:r>
          </w:p>
        </w:tc>
        <w:tc>
          <w:tcPr/>
          <w:p>
            <w:pPr>
              <w:jc w:val="left"/>
            </w:pPr>
            <w:r>
              <w:t xml:space="preserve">IP</w:t>
            </w:r>
          </w:p>
        </w:tc>
        <w:tc>
          <w:tcPr/>
          <w:p>
            <w:pPr>
              <w:jc w:val="left"/>
            </w:pPr>
            <w:r>
              <w:t xml:space="preserve">44</w:t>
            </w:r>
          </w:p>
        </w:tc>
      </w:tr>
      <w:tr>
        <w:tc>
          <w:tcPr/>
          <w:p>
            <w:pPr>
              <w:jc w:val="left"/>
            </w:pPr>
            <w:r>
              <w:t xml:space="preserve">Усилие</w:t>
            </w:r>
          </w:p>
        </w:tc>
        <w:tc>
          <w:tcPr/>
          <w:p>
            <w:pPr>
              <w:jc w:val="left"/>
            </w:pPr>
            <w:r>
              <w:t xml:space="preserve">Н</w:t>
            </w:r>
          </w:p>
        </w:tc>
        <w:tc>
          <w:tcPr/>
          <w:p>
            <w:pPr>
              <w:jc w:val="left"/>
            </w:pPr>
            <w:r>
              <w:t xml:space="preserve">400</w:t>
            </w:r>
          </w:p>
        </w:tc>
      </w:tr>
      <w:tr>
        <w:tc>
          <w:tcPr/>
          <w:p>
            <w:pPr>
              <w:jc w:val="left"/>
            </w:pPr>
            <w:r>
              <w:t xml:space="preserve">Скорость</w:t>
            </w:r>
          </w:p>
        </w:tc>
        <w:tc>
          <w:tcPr/>
          <w:p>
            <w:pPr>
              <w:jc w:val="left"/>
            </w:pPr>
            <w:r>
              <w:t xml:space="preserve">м/мин</w:t>
            </w:r>
          </w:p>
        </w:tc>
        <w:tc>
          <w:tcPr/>
          <w:p>
            <w:pPr>
              <w:jc w:val="left"/>
            </w:pPr>
            <w:r>
              <w:t xml:space="preserve">0.18</w:t>
            </w:r>
          </w:p>
        </w:tc>
      </w:tr>
      <w:tr>
        <w:tc>
          <w:tcPr/>
          <w:p>
            <w:pPr>
              <w:jc w:val="left"/>
            </w:pPr>
            <w:r>
              <w:t xml:space="preserve">Вес</w:t>
            </w:r>
          </w:p>
        </w:tc>
        <w:tc>
          <w:tcPr/>
          <w:p>
            <w:pPr>
              <w:jc w:val="left"/>
            </w:pPr>
            <w:r>
              <w:t xml:space="preserve">кг</w:t>
            </w:r>
          </w:p>
        </w:tc>
        <w:tc>
          <w:tcPr/>
          <w:p>
            <w:pPr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jc w:val="left"/>
            </w:pPr>
            <w:r>
              <w:t xml:space="preserve">Максимальный вес ворот</w:t>
            </w:r>
          </w:p>
        </w:tc>
        <w:tc>
          <w:tcPr/>
          <w:p>
            <w:pPr>
              <w:jc w:val="left"/>
            </w:pPr>
            <w:r>
              <w:t xml:space="preserve">кг</w:t>
            </w:r>
          </w:p>
        </w:tc>
        <w:tc>
          <w:tcPr/>
          <w:p>
            <w:pPr>
              <w:jc w:val="left"/>
            </w:pPr>
            <w:r>
              <w:t xml:space="preserve">400</w:t>
            </w:r>
          </w:p>
        </w:tc>
      </w:tr>
      <w:tr>
        <w:tc>
          <w:tcPr/>
          <w:p>
            <w:pPr>
              <w:jc w:val="left"/>
            </w:pPr>
            <w:r>
              <w:t xml:space="preserve">Температура</w:t>
            </w:r>
          </w:p>
        </w:tc>
        <w:tc>
          <w:tcPr/>
          <w:p>
            <w:pPr>
              <w:jc w:val="left"/>
            </w:pPr>
            <w:r>
              <w:t xml:space="preserve">°C</w:t>
            </w:r>
          </w:p>
        </w:tc>
        <w:tc>
          <w:tcPr/>
          <w:p>
            <w:pPr>
              <w:jc w:val="left"/>
            </w:pPr>
            <w:r>
              <w:t xml:space="preserve">-20 - +40</w:t>
            </w:r>
          </w:p>
        </w:tc>
      </w:tr>
      <w:tr>
        <w:tc>
          <w:tcPr/>
          <w:p>
            <w:pPr>
              <w:jc w:val="left"/>
            </w:pPr>
            <w:r>
              <w:t xml:space="preserve">Интенсивность работы</w:t>
            </w:r>
          </w:p>
        </w:tc>
        <w:tc>
          <w:tcPr/>
          <w:p>
            <w:pPr>
              <w:jc w:val="left"/>
            </w:pPr>
            <w:r>
              <w:t xml:space="preserve">циклов/сутки</w:t>
            </w:r>
          </w:p>
        </w:tc>
        <w:tc>
          <w:tcPr/>
          <w:p>
            <w:pPr>
              <w:jc w:val="left"/>
            </w:pPr>
            <w:r>
              <w:t xml:space="preserve">840</w:t>
            </w:r>
          </w:p>
        </w:tc>
      </w:tr>
      <w:tr>
        <w:tc>
          <w:tcPr/>
          <w:p>
            <w:pPr>
              <w:jc w:val="left"/>
            </w:pPr>
            <w:r>
              <w:t xml:space="preserve">Максимальная ширина ворот</w:t>
            </w:r>
          </w:p>
        </w:tc>
        <w:tc>
          <w:tcPr/>
          <w:p>
            <w:pPr>
              <w:jc w:val="left"/>
            </w:pPr>
            <w:r>
              <w:t xml:space="preserve">м</w:t>
            </w:r>
          </w:p>
        </w:tc>
        <w:tc>
          <w:tcPr/>
          <w:p>
            <w:pPr>
              <w:jc w:val="left"/>
            </w:pPr>
            <w:r>
              <w:t xml:space="preserve">7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Комплект поставки:</w:t>
      </w:r>
    </w:p>
    <w:p>
      <w:pPr>
        <w:pStyle w:val="BodyText"/>
      </w:pPr>
      <w:r>
        <w:t xml:space="preserve">1) Закладная для бетонировки* – 1 шт.</w:t>
      </w:r>
    </w:p>
    <w:p>
      <w:pPr>
        <w:pStyle w:val="BodyText"/>
      </w:pPr>
      <w:r>
        <w:t xml:space="preserve">2) Тумба шлагбаума – 1 шт.</w:t>
      </w:r>
    </w:p>
    <w:p>
      <w:pPr>
        <w:pStyle w:val="BodyText"/>
      </w:pPr>
      <w:r>
        <w:t xml:space="preserve">3) Ходовые ролики – 2 шт.</w:t>
      </w:r>
    </w:p>
    <w:p>
      <w:pPr>
        <w:pStyle w:val="BodyText"/>
      </w:pPr>
      <w:r>
        <w:t xml:space="preserve">4) Направляющие ролики – 2шт</w:t>
      </w:r>
    </w:p>
    <w:p>
      <w:pPr>
        <w:pStyle w:val="BodyText"/>
      </w:pPr>
      <w:r>
        <w:t xml:space="preserve">5) Электропривод* – 1 шт.</w:t>
      </w:r>
    </w:p>
    <w:p>
      <w:pPr>
        <w:pStyle w:val="BodyText"/>
      </w:pPr>
      <w:r>
        <w:t xml:space="preserve">6) Стрела шлагбаума – 1 шт.</w:t>
      </w:r>
    </w:p>
    <w:p>
      <w:pPr>
        <w:pStyle w:val="BodyText"/>
      </w:pPr>
      <w:r>
        <w:t xml:space="preserve">7) Ролик стрелы концевой* – 1 шт. (поставляется, если есть приемная стойка).</w:t>
      </w:r>
    </w:p>
    <w:p>
      <w:pPr>
        <w:pStyle w:val="BodyText"/>
      </w:pPr>
      <w:r>
        <w:t xml:space="preserve">8) Приемная стойка* – 1 шт. (рекомендуется при длине стрелы от 3000мм).</w:t>
      </w:r>
    </w:p>
    <w:p>
      <w:pPr>
        <w:pStyle w:val="BodyText"/>
      </w:pPr>
      <w:r>
        <w:t xml:space="preserve">9) Ловитель стрелы * – 1 шт. (поставляется, если есть приемная стойка).</w:t>
      </w:r>
    </w:p>
    <w:p>
      <w:pPr>
        <w:pStyle w:val="BodyText"/>
      </w:pPr>
      <w:r>
        <w:t xml:space="preserve">10) Дверца тумбы с замком и комплектом ключей – 1 компл.</w:t>
      </w:r>
    </w:p>
    <w:p>
      <w:pPr>
        <w:pStyle w:val="BodyText"/>
      </w:pPr>
      <w:r>
        <w:t xml:space="preserve">11) Фотоэлементы* – 1 компл.</w:t>
      </w:r>
    </w:p>
    <w:p>
      <w:pPr>
        <w:pStyle w:val="BodyText"/>
      </w:pPr>
      <w:r>
        <w:t xml:space="preserve">ПРИМЕЧАНИЕ</w:t>
      </w:r>
      <w:r>
        <w:rPr>
          <w:bCs/>
          <w:b/>
        </w:rPr>
        <w:t xml:space="preserve">:</w:t>
      </w:r>
      <w:r>
        <w:t xml:space="preserve"> </w:t>
      </w:r>
      <w:r>
        <w:t xml:space="preserve">Позиции, отмеченные «*» не входят в обязательный комплект поставки шлагбаума</w:t>
      </w:r>
    </w:p>
    <w:p>
      <w:pPr>
        <w:pStyle w:val="BodyText"/>
      </w:pPr>
      <w:r>
        <w:rPr>
          <w:bCs/>
          <w:b/>
        </w:rPr>
        <w:t xml:space="preserve">Монтаж шлагбаума:</w:t>
      </w:r>
    </w:p>
    <w:p>
      <w:pPr>
        <w:pStyle w:val="BodyText"/>
      </w:pPr>
      <w:r>
        <w:t xml:space="preserve">Шлагбаум должен устанавливаться на подготовленное основание. Подготовка основания может быть проведена различными способами:</w:t>
      </w:r>
    </w:p>
    <w:p>
      <w:pPr>
        <w:pStyle w:val="BodyText"/>
      </w:pPr>
      <w:r>
        <w:t xml:space="preserve">1. Бетонировка закладной из комплекта поставки шлагбаума. Крепление осуществляется шпильками и гайками, входящими в комплект поставки закладной.</w:t>
      </w:r>
    </w:p>
    <w:p>
      <w:pPr>
        <w:pStyle w:val="BodyText"/>
      </w:pPr>
      <w:r>
        <w:t xml:space="preserve">2. Установка бетонного блока для последующего закрепления на нем тумбы шлагбаума. Рекомендованный минимальный размер блока 1200х500х600мм. Крепление тумбы к блоку осуществляется на анкера диаметром не менее 12мм.</w:t>
      </w:r>
    </w:p>
    <w:p>
      <w:pPr>
        <w:pStyle w:val="BodyText"/>
      </w:pPr>
      <w:r>
        <w:t xml:space="preserve">3. Заливка бетонного фундамента для последующего тумбы на анкера диаметром не менее 12мм. Объем фундамента определяется исходя из свойств грунта в месте установки шлагбаума.</w:t>
      </w:r>
    </w:p>
    <w:p>
      <w:pPr>
        <w:pStyle w:val="BodyText"/>
      </w:pPr>
      <w:r>
        <w:rPr>
          <w:bCs/>
          <w:b/>
        </w:rPr>
        <w:t xml:space="preserve">1.1.1. Вызывная панель:</w:t>
      </w:r>
    </w:p>
    <w:p>
      <w:pPr>
        <w:pStyle w:val="BodyText"/>
      </w:pPr>
      <w:r>
        <w:t xml:space="preserve">Вызывная панель предназначена для вызова диспетчера представителями спецтранспорта, гостевого транспорта для проезда на придомовую территорию.</w:t>
      </w:r>
    </w:p>
    <w:p>
      <w:pPr>
        <w:pStyle w:val="BodyText"/>
      </w:pPr>
      <w:r>
        <w:rPr>
          <w:bCs/>
          <w:b/>
        </w:rPr>
        <w:t xml:space="preserve">Технические характеристики вызывной панели:</w:t>
      </w:r>
    </w:p>
    <w:p>
      <w:pPr>
        <w:pStyle w:val="BodyText"/>
      </w:pPr>
      <w:r>
        <w:t xml:space="preserve">· Работа по SIP-протоколу</w:t>
      </w:r>
    </w:p>
    <w:p>
      <w:pPr>
        <w:pStyle w:val="BodyText"/>
      </w:pPr>
      <w:r>
        <w:t xml:space="preserve">· Антивандальный корпус, защита от продавливания кнопки вызова</w:t>
      </w:r>
    </w:p>
    <w:p>
      <w:pPr>
        <w:pStyle w:val="BodyText"/>
      </w:pPr>
      <w:r>
        <w:t xml:space="preserve">· Эксплуатация в диапазоне температур от -50 до +50°С, класс защиты IP54</w:t>
      </w:r>
    </w:p>
    <w:p>
      <w:pPr>
        <w:pStyle w:val="BodyText"/>
      </w:pPr>
      <w:r>
        <w:t xml:space="preserve">· ИК-подсветка III поколения, дальность действия до 10 м</w:t>
      </w:r>
    </w:p>
    <w:p>
      <w:pPr>
        <w:pStyle w:val="BodyText"/>
      </w:pPr>
      <w:r>
        <w:t xml:space="preserve">· Цифровая система шумоподавления (2D/3DNR)</w:t>
      </w:r>
    </w:p>
    <w:p>
      <w:pPr>
        <w:pStyle w:val="BodyText"/>
      </w:pPr>
      <w:r>
        <w:t xml:space="preserve">· Режим день/ночь и электромеханический ИК-фильтр</w:t>
      </w:r>
    </w:p>
    <w:p>
      <w:pPr>
        <w:pStyle w:val="BodyText"/>
      </w:pPr>
      <w:r>
        <w:t xml:space="preserve">· Поворот камеры с фиксацией в держателе</w:t>
      </w:r>
    </w:p>
    <w:p>
      <w:pPr>
        <w:pStyle w:val="BodyText"/>
      </w:pPr>
      <w:r>
        <w:t xml:space="preserve">· Интеллектуальное эхоподавление</w:t>
      </w:r>
    </w:p>
    <w:p>
      <w:pPr>
        <w:pStyle w:val="BodyText"/>
      </w:pPr>
      <w:r>
        <w:t xml:space="preserve">· Двусторонняя аудиосвязь</w:t>
      </w:r>
    </w:p>
    <w:p>
      <w:pPr>
        <w:pStyle w:val="BodyText"/>
      </w:pPr>
      <w:r>
        <w:rPr>
          <w:bCs/>
          <w:b/>
        </w:rPr>
        <w:t xml:space="preserve">1.2.3. Видеокамера:</w:t>
      </w:r>
    </w:p>
    <w:p>
      <w:pPr>
        <w:pStyle w:val="BodyText"/>
      </w:pPr>
      <w:r>
        <w:t xml:space="preserve">Видеокамера устанавливается на мачту рядом с ограждающим устройством и предназначена для фото и видеофиксации событий проезда, а также для работы диспетчера.</w:t>
      </w:r>
    </w:p>
    <w:p>
      <w:pPr>
        <w:pStyle w:val="BodyText"/>
      </w:pPr>
      <w:r>
        <w:rPr>
          <w:bCs/>
          <w:b/>
        </w:rPr>
        <w:t xml:space="preserve">Технические характеристики видеокамеры:</w:t>
      </w:r>
    </w:p>
    <w:p>
      <w:pPr>
        <w:pStyle w:val="BodyText"/>
      </w:pPr>
      <w:r>
        <w:t xml:space="preserve">· Тип корпуса - уличная</w:t>
      </w:r>
    </w:p>
    <w:p>
      <w:pPr>
        <w:pStyle w:val="BodyText"/>
      </w:pPr>
      <w:r>
        <w:t xml:space="preserve">· Разрешение 2880*1620@30fps</w:t>
      </w:r>
    </w:p>
    <w:p>
      <w:pPr>
        <w:pStyle w:val="BodyText"/>
      </w:pPr>
      <w:r>
        <w:t xml:space="preserve">· Мин. Освещенность 0,01Лк</w:t>
      </w:r>
    </w:p>
    <w:p>
      <w:pPr>
        <w:pStyle w:val="BodyText"/>
      </w:pPr>
      <w:r>
        <w:t xml:space="preserve">· Объектив 2,8-12 мм</w:t>
      </w:r>
    </w:p>
    <w:p>
      <w:pPr>
        <w:pStyle w:val="BodyText"/>
      </w:pPr>
      <w:r>
        <w:t xml:space="preserve">· ИК подсветка 40 м</w:t>
      </w:r>
    </w:p>
    <w:p>
      <w:pPr>
        <w:pStyle w:val="BodyText"/>
      </w:pPr>
      <w:r>
        <w:t xml:space="preserve">· Рабочая температура -40℃～+50℃</w:t>
      </w:r>
    </w:p>
    <w:p>
      <w:pPr>
        <w:pStyle w:val="BodyText"/>
      </w:pPr>
      <w:r>
        <w:t xml:space="preserve">· Питание DC12V±10%, 950mA</w:t>
      </w:r>
    </w:p>
    <w:p>
      <w:pPr>
        <w:pStyle w:val="BodyText"/>
      </w:pPr>
      <w:r>
        <w:t xml:space="preserve">· Вес 1400 гр</w:t>
      </w:r>
    </w:p>
    <w:p>
      <w:pPr>
        <w:pStyle w:val="BodyText"/>
      </w:pPr>
      <w:r>
        <w:t xml:space="preserve">· Класс защиты IP67</w:t>
      </w:r>
    </w:p>
    <w:p>
      <w:pPr>
        <w:pStyle w:val="BodyText"/>
      </w:pPr>
      <w:r>
        <w:t xml:space="preserve">· Габариты 211 x 92 x 90мм</w:t>
      </w:r>
    </w:p>
    <w:p>
      <w:pPr>
        <w:pStyle w:val="BodyText"/>
      </w:pPr>
      <w:r>
        <w:rPr>
          <w:bCs/>
          <w:b/>
        </w:rPr>
        <w:t xml:space="preserve">1.1. Разрешение на проведение строительных работ.</w:t>
      </w:r>
    </w:p>
    <w:p>
      <w:pPr>
        <w:pStyle w:val="BodyText"/>
      </w:pPr>
      <w:r>
        <w:t xml:space="preserve">В соответствии с Постановлением Правительства Москвы от 27.08.2012 № 432-ПП «О видах, параметрах и характеристиках объектов благоустройства территории, для размещения которых не требуется получение разрешения на строительство, и видах работ по изменению объектов капитального строительства и (или) их частей, не затрагивающих конструктивные и иные характеристики их надежности и безопасности, не нарушающих права третьих лиц и не превышающих предельные параметры разрешенного строительства, реконструкции, установленные градостроительными планами соответствующих земельных участков, для выполнения которых не требуется получение разрешения на строительство» ‐ разрешение на проведение строительных работ по установке заграждающих конструкций (шлагбаума) НЕ ТРЕБУЕТСЯ.</w:t>
      </w:r>
    </w:p>
    <w:p>
      <w:pPr>
        <w:pStyle w:val="BodyText"/>
      </w:pPr>
      <w:r>
        <w:rPr>
          <w:bCs/>
          <w:b/>
        </w:rPr>
        <w:t xml:space="preserve">1.2. Разрешение на проведение строительных работ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РЕГЛАМЕНТ/ПОЛОЖЕНИЕ</w:t>
      </w:r>
    </w:p>
    <w:p>
      <w:pPr>
        <w:pStyle w:val="BodyText"/>
      </w:pPr>
      <w:r>
        <w:t xml:space="preserve">О порядке въезда и выезда автотранспортных средств на придомовую территорию</w:t>
      </w:r>
    </w:p>
    <w:p>
      <w:pPr>
        <w:pStyle w:val="BodyText"/>
      </w:pPr>
      <w:r>
        <w:rPr>
          <w:bCs/>
          <w:b/>
        </w:rPr>
        <w:t xml:space="preserve">1. Общие положения</w:t>
      </w:r>
    </w:p>
    <w:p>
      <w:pPr>
        <w:pStyle w:val="BodyText"/>
      </w:pPr>
      <w:r>
        <w:t xml:space="preserve">1.1. Положение о порядке въезда и выезда автотранспортных средств на придомовую территорию (далее – Положение) разработано в соответствии с Постановлением Правительства Москвы от 02.07.2013г № 428-ПП «О порядке установки ограждений на придомовых территориях в городе Москве» и других актов и норм действующего законодательства.</w:t>
      </w:r>
    </w:p>
    <w:p>
      <w:pPr>
        <w:pStyle w:val="BodyText"/>
      </w:pPr>
      <w:r>
        <w:t xml:space="preserve">1.2. Основной целью данного Положения является</w:t>
      </w:r>
      <w:r>
        <w:t xml:space="preserve"> </w:t>
      </w:r>
      <w:bookmarkStart w:id="24" w:name="Xbc9119f71ab9babc261aa04cc1ddb4f99e1363b"/>
      <w:r>
        <w:t xml:space="preserve">ограничение доступа постороннего транспорта и создание на придомовой территории двора благоприятных условий проживания собственников многоквартирного дома (далее – МКД), упорядочивания парковки и стоянки автотранспортных средств, освобождению пожарных зон, занимаемых вследствие беспорядочной парковки автомобилей в нарушение Постановления Правительства Российской Федерации № 1479 от 16.09.2020г «Об утверждении Правил противопожарного режима в Российской Федерации»</w:t>
      </w:r>
      <w:bookmarkEnd w:id="24"/>
      <w:r>
        <w:t xml:space="preserve"> </w:t>
      </w:r>
      <w:r>
        <w:t xml:space="preserve">и Правил дорожного движения (ПДД).</w:t>
      </w:r>
    </w:p>
    <w:p>
      <w:pPr>
        <w:pStyle w:val="BodyText"/>
      </w:pPr>
      <w:r>
        <w:t xml:space="preserve">1.3. Основными задачами данного Положения являются:</w:t>
      </w:r>
    </w:p>
    <w:p>
      <w:pPr>
        <w:pStyle w:val="BodyText"/>
      </w:pPr>
      <w:r>
        <w:t xml:space="preserve">Ограничение въезда постороннего транспорта на придомовую территорию с помощью ограждающего устройства (шлагбаума);</w:t>
      </w:r>
    </w:p>
    <w:p>
      <w:pPr>
        <w:pStyle w:val="BodyText"/>
      </w:pPr>
      <w:r>
        <w:t xml:space="preserve">Организация автоматизированного въезда и выезда автомобильного транспорта на придомовую территорию жителей и их гостей;</w:t>
      </w:r>
    </w:p>
    <w:p>
      <w:pPr>
        <w:pStyle w:val="BodyText"/>
      </w:pPr>
      <w:r>
        <w:t xml:space="preserve">Обеспечение круглосуточного и беспрепятственного проезда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служб, аварийные службы и пр.</w:t>
      </w:r>
    </w:p>
    <w:p>
      <w:pPr>
        <w:pStyle w:val="BodyText"/>
      </w:pPr>
      <w:r>
        <w:t xml:space="preserve">1.4. Все собственники жилых помещений в МКД, наниматели или арендаторы, обязаны соблюдать требования настоящего Положения.</w:t>
      </w:r>
    </w:p>
    <w:p>
      <w:pPr>
        <w:pStyle w:val="BodyText"/>
      </w:pPr>
      <w:r>
        <w:t xml:space="preserve">1.5. Собственники помещений, передающие свои помещения в аренду или иное пользование третьими лицами, обязаны ознакомить своих арендаторов или нанимателей с настоящим Положением в письменном виде и требовать его неукоснительного исполнения.</w:t>
      </w:r>
    </w:p>
    <w:p>
      <w:pPr>
        <w:pStyle w:val="BodyText"/>
      </w:pPr>
      <w:r>
        <w:t xml:space="preserve">1.6. Разрешение на проведение строительных работ по установке шлагбаумов с организацией оснований с заглублением до 0,3м в соответствии с Постановлением Правительства Москвы от 27.08.2012 № 432-ПП «О видах, параметрах и характеристиках объектов благоустройства территории, для размещения которых не требуется получение разрешения на строительство, и видах работ по изменению объектов капитального строительства и (или) их частей, не затрагивающих конструктивные и иные характеристики их надежности и безопасности, не нарушающих права третьих лиц и не превышающих предельные параметры разрешенного строительства, реконструкции, установленные градостроительными планами соответствующих земельных участков, для выполнения которых не требуется получение разрешения на строительство» ‐ НЕ ТРЕБУЕТСЯ.</w:t>
      </w:r>
    </w:p>
    <w:p>
      <w:pPr>
        <w:pStyle w:val="BodyText"/>
      </w:pPr>
      <w:r>
        <w:t xml:space="preserve">1.7. Информационные таблички об организации въезда на придомовую территорию будут устанавливаться обслуживающей организацией.</w:t>
      </w:r>
    </w:p>
    <w:p>
      <w:pPr>
        <w:pStyle w:val="BodyText"/>
      </w:pPr>
      <w:r>
        <w:rPr>
          <w:bCs/>
          <w:b/>
        </w:rPr>
        <w:t xml:space="preserve">2. Основные термины и определения</w:t>
      </w:r>
    </w:p>
    <w:p>
      <w:pPr>
        <w:pStyle w:val="BodyText"/>
      </w:pPr>
      <w:r>
        <w:t xml:space="preserve">2.1.</w:t>
      </w:r>
      <w:r>
        <w:t xml:space="preserve"> </w:t>
      </w:r>
      <w:r>
        <w:rPr>
          <w:bCs/>
          <w:b/>
        </w:rPr>
        <w:t xml:space="preserve">Двор</w:t>
      </w:r>
      <w:r>
        <w:t xml:space="preserve"> </w:t>
      </w:r>
      <w:r>
        <w:t xml:space="preserve">– придомовая территория дома по адресу: г.Москва, ул. Касимовская, д. 41, на которую ограничивается проезд постороннего транспорта с помощью шлагбаума.</w:t>
      </w:r>
    </w:p>
    <w:p>
      <w:pPr>
        <w:pStyle w:val="BodyText"/>
      </w:pPr>
      <w:r>
        <w:t xml:space="preserve">2.2.</w:t>
      </w:r>
      <w:r>
        <w:t xml:space="preserve"> </w:t>
      </w:r>
      <w:r>
        <w:rPr>
          <w:bCs/>
          <w:b/>
        </w:rPr>
        <w:t xml:space="preserve">Шлагбаум</w:t>
      </w:r>
      <w:r>
        <w:t xml:space="preserve"> </w:t>
      </w:r>
      <w:r>
        <w:t xml:space="preserve">– автоматическое ограждающее устройство, установленное во Дворе на основании Протокола общего собрания собственников (далее – ОСС) и решения Совета депутатов муниципального района Бирюлево Восточное.</w:t>
      </w:r>
    </w:p>
    <w:p>
      <w:pPr>
        <w:pStyle w:val="BodyText"/>
      </w:pPr>
      <w:r>
        <w:t xml:space="preserve">2.3.</w:t>
      </w:r>
      <w:r>
        <w:t xml:space="preserve"> </w:t>
      </w:r>
      <w:r>
        <w:rPr>
          <w:bCs/>
          <w:b/>
        </w:rPr>
        <w:t xml:space="preserve">Уполномоченное лицо</w:t>
      </w:r>
      <w:r>
        <w:t xml:space="preserve"> </w:t>
      </w:r>
      <w:r>
        <w:t xml:space="preserve">– лицо, утвержденное решением ОСС, уполномоченное на решение вопросов, связанных с установкой, демонтажем и эксплуатацией Шлагбаума, а также администрирования данных в базе пользователей (добавление, удаление идентификаторов и редактирование данных пользователей).</w:t>
      </w:r>
    </w:p>
    <w:p>
      <w:pPr>
        <w:pStyle w:val="BodyText"/>
      </w:pPr>
      <w:r>
        <w:t xml:space="preserve">2.4.</w:t>
      </w:r>
      <w:r>
        <w:t xml:space="preserve"> </w:t>
      </w:r>
      <w:r>
        <w:rPr>
          <w:bCs/>
          <w:b/>
        </w:rPr>
        <w:t xml:space="preserve">Пользователь</w:t>
      </w:r>
      <w:r>
        <w:t xml:space="preserve"> </w:t>
      </w:r>
      <w:r>
        <w:t xml:space="preserve">– собственник, арендатор, наниматель и иное лицо, обоснованно пользующееся недвижимостью, находящейся во Дворе, прошедший регистрацию и занесенное в базу данных Пользователей. Для регистрации необходимо предоставить документы, подтверждающие это право Уполномоченному лицу.</w:t>
      </w:r>
    </w:p>
    <w:p>
      <w:pPr>
        <w:pStyle w:val="BodyText"/>
      </w:pPr>
      <w:r>
        <w:t xml:space="preserve">2.5.</w:t>
      </w:r>
      <w:r>
        <w:t xml:space="preserve"> </w:t>
      </w:r>
      <w:r>
        <w:rPr>
          <w:bCs/>
          <w:b/>
        </w:rPr>
        <w:t xml:space="preserve">Гость</w:t>
      </w:r>
      <w:r>
        <w:t xml:space="preserve"> </w:t>
      </w:r>
      <w:r>
        <w:t xml:space="preserve">– лицо, не являющееся Пользователем и не имеющее отношения к Спецтранспорту и транспорту брендированной доставки.</w:t>
      </w:r>
    </w:p>
    <w:p>
      <w:pPr>
        <w:pStyle w:val="BodyText"/>
      </w:pPr>
      <w:r>
        <w:t xml:space="preserve">2.6.</w:t>
      </w:r>
      <w:r>
        <w:t xml:space="preserve"> </w:t>
      </w:r>
      <w:r>
        <w:rPr>
          <w:bCs/>
          <w:b/>
        </w:rPr>
        <w:t xml:space="preserve">Спецтранспорт</w:t>
      </w:r>
      <w:r>
        <w:t xml:space="preserve"> </w:t>
      </w:r>
      <w:r>
        <w:t xml:space="preserve">– транспорт специального назначения и коммунальных служб (скорая помощь, пожарная охрана, полиция, МЧС, Мосгаз, Мосводоканал, Мосэнергосбыт, Мослифт, аварийные службы и прочее).</w:t>
      </w:r>
    </w:p>
    <w:p>
      <w:pPr>
        <w:pStyle w:val="BodyText"/>
      </w:pPr>
      <w:r>
        <w:t xml:space="preserve">2.7.</w:t>
      </w:r>
      <w:r>
        <w:t xml:space="preserve"> </w:t>
      </w:r>
      <w:r>
        <w:rPr>
          <w:bCs/>
          <w:b/>
        </w:rPr>
        <w:t xml:space="preserve">Исполнитель</w:t>
      </w:r>
      <w:r>
        <w:t xml:space="preserve"> </w:t>
      </w:r>
      <w:r>
        <w:t xml:space="preserve">– компания, утвержденная Уполномоченным лицом в качестве подрядчика по установке, диспетчеризации и сервисному обслуживанию.</w:t>
      </w:r>
    </w:p>
    <w:p>
      <w:pPr>
        <w:pStyle w:val="BodyText"/>
      </w:pPr>
      <w:r>
        <w:rPr>
          <w:bCs/>
          <w:b/>
        </w:rPr>
        <w:t xml:space="preserve">3. Основные правила проезда</w:t>
      </w:r>
    </w:p>
    <w:p>
      <w:pPr>
        <w:pStyle w:val="BodyText"/>
      </w:pPr>
      <w:r>
        <w:t xml:space="preserve">3.1. Заградительному устройству присваивается свой номер мобильного телефона в формате +79ХХХХХХХХХ. Номера телефонов всех Пользователей заносятся в базу данных. Точка въезда оснащена комплектом удаленного управления шлагбаумом (переговорное устройство с диспетчером и видеонаблюдение).</w:t>
      </w:r>
    </w:p>
    <w:p>
      <w:pPr>
        <w:pStyle w:val="BodyText"/>
      </w:pPr>
      <w:r>
        <w:t xml:space="preserve">3.2.</w:t>
      </w:r>
      <w:r>
        <w:t xml:space="preserve"> </w:t>
      </w:r>
      <w:r>
        <w:rPr>
          <w:bCs/>
          <w:b/>
        </w:rPr>
        <w:t xml:space="preserve">Проезд Пользователей</w:t>
      </w:r>
      <w:r>
        <w:t xml:space="preserve"> </w:t>
      </w:r>
      <w:r>
        <w:t xml:space="preserve">на территорию осуществляется через Шлагбаум, оснащённый системой контроля доступа, который открывается автоматически при получении команды на открытие. При подъезде к Шлагбауму необходимо остановиться и позвонить на номер, который ему присвоен Шлагбауму, оборудование сверяет номер звонящего с номерами из базы данных и при совпадении с одним из номеров дает команду на открытие Шлагбаума. Звонок бесплатный. Так же возможно открытие с мобильного приложения, которое может установить на свой телефон каждый житель Двора.</w:t>
      </w:r>
    </w:p>
    <w:p>
      <w:pPr>
        <w:pStyle w:val="BodyText"/>
      </w:pPr>
      <w:r>
        <w:t xml:space="preserve">3.3.</w:t>
      </w:r>
      <w:r>
        <w:t xml:space="preserve"> </w:t>
      </w:r>
      <w:r>
        <w:rPr>
          <w:bCs/>
          <w:b/>
        </w:rPr>
        <w:t xml:space="preserve">Спецтранспорту</w:t>
      </w:r>
      <w:r>
        <w:t xml:space="preserve"> </w:t>
      </w:r>
      <w:r>
        <w:t xml:space="preserve">предоставляется круглосуточный и беспрепятственный проезд на придомовую территорию по средствам связи водителя с диспетчерской службой Исполнителя. Диспетчер идентифицирует Спецтранспорт через комплекты видеонаблюдения и голосовой связи и открывает Шлагбаум.</w:t>
      </w:r>
    </w:p>
    <w:p>
      <w:pPr>
        <w:pStyle w:val="BodyText"/>
      </w:pPr>
      <w:r>
        <w:t xml:space="preserve">3.4.</w:t>
      </w:r>
      <w:r>
        <w:t xml:space="preserve"> </w:t>
      </w:r>
      <w:r>
        <w:rPr>
          <w:bCs/>
          <w:b/>
        </w:rPr>
        <w:t xml:space="preserve">Для проезда Гостя</w:t>
      </w:r>
      <w:r>
        <w:t xml:space="preserve"> </w:t>
      </w:r>
      <w:r>
        <w:t xml:space="preserve">Пользователю необходимо оставить заявку диспетчеру по тел. +79ХХХХХХХХХ или через мобильное приложение. Диспетчер в ответ сообщает номер входящей заявки. Заявитель сообщает номер заявки водителю гостевой машины. Гость вызывает диспетчера, сообщает цель прибытия и номер заявки. Диспетчер принимает решение о допуске машины на придомовую территорию.</w:t>
      </w:r>
    </w:p>
    <w:p>
      <w:pPr>
        <w:pStyle w:val="BodyText"/>
      </w:pPr>
      <w:r>
        <w:t xml:space="preserve">3.5. Выезд автотранспорта с территории двора осуществляется по звонку диспетчеру через вызывное устройство на шлагбауме беспрепятственно.</w:t>
      </w:r>
    </w:p>
    <w:p>
      <w:pPr>
        <w:pStyle w:val="BodyText"/>
      </w:pPr>
      <w:r>
        <w:rPr>
          <w:bCs/>
          <w:b/>
        </w:rPr>
        <w:t xml:space="preserve">4. Регистрация Пользователя</w:t>
      </w:r>
    </w:p>
    <w:p>
      <w:pPr>
        <w:pStyle w:val="BodyText"/>
      </w:pPr>
      <w:r>
        <w:t xml:space="preserve">4.1. Право проезда предоставляется всем зарегистрированным Пользователем.</w:t>
      </w:r>
    </w:p>
    <w:p>
      <w:pPr>
        <w:pStyle w:val="BodyText"/>
      </w:pPr>
      <w:r>
        <w:t xml:space="preserve">4.2. Регистрация, т.е. добавление в базу данных сведений о Пользователе, осуществляется Уполномоченным лицом путем подачи собственником/нанимателем/арендатором заявления.</w:t>
      </w:r>
    </w:p>
    <w:p>
      <w:pPr>
        <w:pStyle w:val="BodyText"/>
      </w:pPr>
      <w:r>
        <w:t xml:space="preserve">4.3. В заявление указывается:</w:t>
      </w:r>
    </w:p>
    <w:p>
      <w:pPr>
        <w:pStyle w:val="BodyText"/>
      </w:pPr>
      <w:r>
        <w:t xml:space="preserve">· ФИО</w:t>
      </w:r>
    </w:p>
    <w:p>
      <w:pPr>
        <w:pStyle w:val="BodyText"/>
      </w:pPr>
      <w:r>
        <w:t xml:space="preserve">· Мобильный/городской номер телефона для подачи гостевых заявок и проезда</w:t>
      </w:r>
    </w:p>
    <w:p>
      <w:pPr>
        <w:pStyle w:val="BodyText"/>
      </w:pPr>
      <w:r>
        <w:t xml:space="preserve">· Адрес помещения в МКД</w:t>
      </w:r>
    </w:p>
    <w:p>
      <w:pPr>
        <w:pStyle w:val="BodyText"/>
      </w:pPr>
      <w:r>
        <w:t xml:space="preserve">· Правоустанавливающий документ</w:t>
      </w:r>
    </w:p>
    <w:p>
      <w:pPr>
        <w:pStyle w:val="BodyText"/>
      </w:pPr>
      <w:r>
        <w:t xml:space="preserve">· ФИО и мобильный телефон лица, который будет зарегистрированным Пользователем</w:t>
      </w:r>
    </w:p>
    <w:p>
      <w:pPr>
        <w:pStyle w:val="BodyText"/>
      </w:pPr>
      <w:r>
        <w:t xml:space="preserve">· Марка и государственный номер автомобиля Пользователя</w:t>
      </w:r>
    </w:p>
    <w:p>
      <w:pPr>
        <w:pStyle w:val="BodyText"/>
      </w:pPr>
      <w:r>
        <w:t xml:space="preserve">4.4. К заявлению прикладываются:</w:t>
      </w:r>
    </w:p>
    <w:p>
      <w:pPr>
        <w:pStyle w:val="BodyText"/>
      </w:pPr>
      <w:r>
        <w:t xml:space="preserve">· Копия паспорта – стр. 1 и 2</w:t>
      </w:r>
    </w:p>
    <w:p>
      <w:pPr>
        <w:pStyle w:val="BodyText"/>
      </w:pPr>
      <w:r>
        <w:t xml:space="preserve">· Документ, подтверждающий право собственности или аренду</w:t>
      </w:r>
    </w:p>
    <w:p>
      <w:pPr>
        <w:pStyle w:val="BodyText"/>
      </w:pPr>
      <w:r>
        <w:t xml:space="preserve">· Документ, подтверждающий наличие автомобиля</w:t>
      </w:r>
    </w:p>
    <w:p>
      <w:pPr>
        <w:pStyle w:val="BodyText"/>
      </w:pPr>
      <w:r>
        <w:rPr>
          <w:bCs/>
          <w:b/>
        </w:rPr>
        <w:t xml:space="preserve">5. Основные правила парковки автотранспортных средств при нахождении их на придомовой территории</w:t>
      </w:r>
    </w:p>
    <w:p>
      <w:pPr>
        <w:pStyle w:val="BodyText"/>
      </w:pPr>
      <w:r>
        <w:t xml:space="preserve">5.1. Наличие Шлагбаума не является гарантией наличия парковочного места ввиду их ограниченного количества.</w:t>
      </w:r>
    </w:p>
    <w:p>
      <w:pPr>
        <w:pStyle w:val="BodyText"/>
      </w:pPr>
      <w:r>
        <w:t xml:space="preserve">5.2. На придомовой территории категорически</w:t>
      </w:r>
      <w:r>
        <w:t xml:space="preserve"> </w:t>
      </w:r>
      <w:r>
        <w:rPr>
          <w:bCs/>
          <w:b/>
        </w:rPr>
        <w:t xml:space="preserve">ЗАПРЕЩАЕТСЯ</w:t>
      </w:r>
      <w:r>
        <w:t xml:space="preserve">:</w:t>
      </w:r>
    </w:p>
    <w:p>
      <w:pPr>
        <w:pStyle w:val="BodyText"/>
      </w:pPr>
      <w:r>
        <w:t xml:space="preserve">· Парковать личные транспортные средства на площадках, выделенных для спецтехники, а также для разворота спецтехники;</w:t>
      </w:r>
    </w:p>
    <w:p>
      <w:pPr>
        <w:pStyle w:val="BodyText"/>
      </w:pPr>
      <w:r>
        <w:t xml:space="preserve">· Парковать автотранспортные средства, перекрывая пешеходные дорожки, а также проходы на детские площадки и прочие места общего пользования;</w:t>
      </w:r>
    </w:p>
    <w:p>
      <w:pPr>
        <w:pStyle w:val="BodyText"/>
      </w:pPr>
      <w:r>
        <w:t xml:space="preserve">· Осуществлять проезд по газонам и парковку на газонах;</w:t>
      </w:r>
    </w:p>
    <w:p>
      <w:pPr>
        <w:pStyle w:val="BodyText"/>
      </w:pPr>
      <w:r>
        <w:t xml:space="preserve">· Перекрывать проезд другим автомобилям, существенно ограничивая возможность их маневра для парковки и въезда/выезда;</w:t>
      </w:r>
    </w:p>
    <w:p>
      <w:pPr>
        <w:pStyle w:val="BodyText"/>
      </w:pPr>
      <w:r>
        <w:t xml:space="preserve">· Перекрывать пути въезда/выезда с придомовой территории;</w:t>
      </w:r>
    </w:p>
    <w:p>
      <w:pPr>
        <w:pStyle w:val="BodyText"/>
      </w:pPr>
      <w:r>
        <w:t xml:space="preserve">· Двигаться по придомовой территории со скоростью более 20 км/час;</w:t>
      </w:r>
    </w:p>
    <w:p>
      <w:pPr>
        <w:pStyle w:val="BodyText"/>
      </w:pPr>
      <w:r>
        <w:t xml:space="preserve">· Устанавливать любые механические ограждения на парковочных площадках и карманах, препятствующие свободному использованию парковочного места другими собственниками;</w:t>
      </w:r>
    </w:p>
    <w:p>
      <w:pPr>
        <w:pStyle w:val="BodyText"/>
      </w:pPr>
      <w:r>
        <w:t xml:space="preserve">· Управлять/парковать автомобиль в состоянии алкогольного опьянения.</w:t>
      </w:r>
    </w:p>
    <w:p>
      <w:pPr>
        <w:pStyle w:val="BodyText"/>
      </w:pPr>
      <w:r>
        <w:rPr>
          <w:bCs/>
          <w:b/>
        </w:rPr>
        <w:t xml:space="preserve">6. Ответственность за нарушение требований настоящего положения</w:t>
      </w:r>
    </w:p>
    <w:p>
      <w:pPr>
        <w:pStyle w:val="BodyText"/>
      </w:pPr>
      <w:r>
        <w:t xml:space="preserve">6.1. В случае повреждения системы контроля доступа или оборудования Шлагбаума, лицо, нанесшее повреждение, несет материальную ответственность в соответствии с действующим законодательством РФ, так как Шлагбаум – это общее имущество многоквартирного дома.</w:t>
      </w:r>
    </w:p>
    <w:p>
      <w:pPr>
        <w:pStyle w:val="BodyText"/>
      </w:pPr>
      <w:r>
        <w:t xml:space="preserve">6.2. Ответственность за нарушение правил не наступает, если они произошли не по вине нарушителя, а по причинам технического характера (например, неисправность каких-либо модулей системы) или вследствие действий третьих лиц.</w:t>
      </w:r>
    </w:p>
    <w:p>
      <w:pPr>
        <w:pStyle w:val="BodyText"/>
      </w:pPr>
      <w:r>
        <w:rPr>
          <w:bCs/>
          <w:b/>
        </w:rPr>
        <w:t xml:space="preserve">7. Права и обязанности собственников/нанимателей/арендаторов помещений в МКД</w:t>
      </w:r>
    </w:p>
    <w:p>
      <w:pPr>
        <w:pStyle w:val="BodyText"/>
      </w:pPr>
      <w:r>
        <w:t xml:space="preserve">7.1. Собственники, арендаторы, наниматели и другие лица, обоснованно пользующиеся недвижимостью, находящейся в МКД и во Дворе</w:t>
      </w:r>
      <w:r>
        <w:t xml:space="preserve"> </w:t>
      </w:r>
      <w:r>
        <w:rPr>
          <w:bCs/>
          <w:b/>
        </w:rPr>
        <w:t xml:space="preserve">имеют право</w:t>
      </w:r>
      <w:r>
        <w:t xml:space="preserve">:</w:t>
      </w:r>
    </w:p>
    <w:p>
      <w:pPr>
        <w:pStyle w:val="BodyText"/>
      </w:pPr>
      <w:r>
        <w:t xml:space="preserve">· Осуществлять беспрепятственный въезд на придомовую территорию на личном легковом транспорте;</w:t>
      </w:r>
    </w:p>
    <w:p>
      <w:pPr>
        <w:pStyle w:val="BodyText"/>
      </w:pPr>
      <w:r>
        <w:t xml:space="preserve">· Самостоятельно открывать Шлагбаум для пропуска на придомовую территорию автотранспорта гостей, такси и т.п.;</w:t>
      </w:r>
    </w:p>
    <w:p>
      <w:pPr>
        <w:pStyle w:val="BodyText"/>
      </w:pPr>
      <w:r>
        <w:t xml:space="preserve">· Вносить предложения по совершенствованию системы въезда/выезда и парковки.</w:t>
      </w:r>
    </w:p>
    <w:p>
      <w:pPr>
        <w:pStyle w:val="BodyText"/>
      </w:pPr>
      <w:r>
        <w:t xml:space="preserve">7.2. Собственники, арендаторы, наниматели и другие лица, обоснованно пользующиеся недвижимостью, находящейся в МКД и во Дворе</w:t>
      </w:r>
      <w:r>
        <w:t xml:space="preserve"> </w:t>
      </w:r>
      <w:r>
        <w:rPr>
          <w:bCs/>
          <w:b/>
        </w:rPr>
        <w:t xml:space="preserve">обязаны</w:t>
      </w:r>
      <w:r>
        <w:t xml:space="preserve">:</w:t>
      </w:r>
    </w:p>
    <w:p>
      <w:pPr>
        <w:pStyle w:val="BodyText"/>
      </w:pPr>
      <w:r>
        <w:t xml:space="preserve">· Выполнять требования, установленные настоящим Положением/Регламентом;</w:t>
      </w:r>
    </w:p>
    <w:p>
      <w:pPr>
        <w:pStyle w:val="BodyText"/>
      </w:pPr>
      <w:r>
        <w:t xml:space="preserve">· Не препятствовать коммунальной службе в проведении механизированной уборки территории и оказывать им всевозможное содействие;</w:t>
      </w:r>
    </w:p>
    <w:p>
      <w:pPr>
        <w:pStyle w:val="BodyText"/>
      </w:pPr>
      <w:r>
        <w:t xml:space="preserve">· Соблюдать правила дорожного движения;</w:t>
      </w:r>
    </w:p>
    <w:p>
      <w:pPr>
        <w:pStyle w:val="BodyText"/>
      </w:pPr>
      <w:r>
        <w:t xml:space="preserve">· Участвовать в финансировании установки и эксплуатации Шлагбаума;</w:t>
      </w:r>
    </w:p>
    <w:p>
      <w:pPr>
        <w:pStyle w:val="BodyText"/>
      </w:pPr>
      <w:r>
        <w:t xml:space="preserve">· Участвовать на добровольной основе в общих расходах по обеспечению необходимых мер, связанных с реализацией настоящего положения и технического проекта установки Шлагбаума и его эксплуатации и диспетчеризации;</w:t>
      </w:r>
    </w:p>
    <w:p>
      <w:pPr>
        <w:pStyle w:val="BodyText"/>
      </w:pPr>
      <w:r>
        <w:t xml:space="preserve">· Придерживаться установленной схемы проезда и парковки, рационально используя отведенное для этих целей пространство.</w:t>
      </w:r>
    </w:p>
    <w:p>
      <w:pPr>
        <w:pStyle w:val="BodyText"/>
      </w:pPr>
      <w:r>
        <w:rPr>
          <w:bCs/>
          <w:b/>
        </w:rPr>
        <w:t xml:space="preserve">8. Осуществление общественного контроля за соблюдением требований положения</w:t>
      </w:r>
    </w:p>
    <w:p>
      <w:pPr>
        <w:pStyle w:val="BodyText"/>
      </w:pPr>
      <w:r>
        <w:t xml:space="preserve">8.1. Осуществление общественного контроля со стороны собственников/арендаторов/нанимателей помещений МКД по соблюдению настоящего Положения возлагается на Уполномоченных лиц, выбранных на ОСС.</w:t>
      </w:r>
    </w:p>
    <w:p>
      <w:pPr>
        <w:pStyle w:val="BodyText"/>
      </w:pPr>
      <w:r>
        <w:t xml:space="preserve">8.1.1. Уполномоченное лицо:</w:t>
      </w:r>
    </w:p>
    <w:p>
      <w:pPr>
        <w:pStyle w:val="BodyText"/>
      </w:pPr>
      <w:r>
        <w:t xml:space="preserve">· Осуществляет обмен информацией с жителями МКД;</w:t>
      </w:r>
    </w:p>
    <w:p>
      <w:pPr>
        <w:pStyle w:val="BodyText"/>
      </w:pPr>
      <w:r>
        <w:t xml:space="preserve">· Регистрирует автомобили и номера телефонов жителей МКД для внесения в базу данных Пользователей;</w:t>
      </w:r>
    </w:p>
    <w:p>
      <w:pPr>
        <w:pStyle w:val="BodyText"/>
      </w:pPr>
      <w:r>
        <w:t xml:space="preserve">· Получает пароль доступа в личный кабинет с правом мониторинга проезжающих через Шлагбаум транспортных средств на предмет соблюдения Пользователями данного регламента;</w:t>
      </w:r>
    </w:p>
    <w:p>
      <w:pPr>
        <w:pStyle w:val="BodyText"/>
      </w:pPr>
      <w:r>
        <w:t xml:space="preserve">· Разрешает в меру своих сил и полномочий конфликтные ситуации, возникающие при эксплуатации Шлагбаума;</w:t>
      </w:r>
    </w:p>
    <w:p>
      <w:pPr>
        <w:pStyle w:val="BodyText"/>
      </w:pPr>
      <w:r>
        <w:t xml:space="preserve">· Имеет право применить к нарушителям регламента санкции в виде предупреждений и последующего ограничения доступа к управлению Шлагбаумом;</w:t>
      </w:r>
    </w:p>
    <w:p>
      <w:pPr>
        <w:pStyle w:val="BodyText"/>
      </w:pPr>
      <w:r>
        <w:t xml:space="preserve">· В случае поломки Шлагбаума и оборудования обращаться в компанию, осуществляющую по договору сервисное обслуживание и ремонт.</w:t>
      </w:r>
    </w:p>
    <w:p>
      <w:pPr>
        <w:pStyle w:val="BodyText"/>
      </w:pPr>
      <w:r>
        <w:t xml:space="preserve">8.1.2. Уполномоченные ОСС лица совместно или по отдельности:</w:t>
      </w:r>
    </w:p>
    <w:p>
      <w:pPr>
        <w:pStyle w:val="BodyText"/>
      </w:pPr>
      <w:r>
        <w:t xml:space="preserve">Рассматривают общие вопросы и предложения, возникающие по порядку въезда транспортных средств и их пребывания на придомовой территории;</w:t>
      </w:r>
    </w:p>
    <w:p>
      <w:pPr>
        <w:pStyle w:val="BodyText"/>
      </w:pPr>
      <w:r>
        <w:t xml:space="preserve">Взаимодействуют с Управляющей организацией, коммунальными службами, а также с городскими и муниципальными органами власти, по решению вопросов, связанных с обеспечением комфортной среды проживания;</w:t>
      </w:r>
    </w:p>
    <w:p>
      <w:pPr>
        <w:pStyle w:val="BodyText"/>
      </w:pPr>
      <w:r>
        <w:t xml:space="preserve">Разрешают спорные вопросы, возникшие в силу установки и эксплуатации Шлагбаума на придомовой территории.</w:t>
      </w:r>
    </w:p>
    <w:p>
      <w:pPr>
        <w:pStyle w:val="BodyText"/>
      </w:pPr>
      <w:r>
        <w:t xml:space="preserve">8.2. Все вопросы, относящиеся к регулированию взъезда транспортных средств на придомовую территорию, не оговоренные настоящим Положением, должны предварительно рассматриваться Уполномоченными лицами и по результатам решений реализовываться с соблюдением норм законодательства РФ и Москвы.</w:t>
      </w:r>
    </w:p>
    <w:p>
      <w:pPr>
        <w:pStyle w:val="BodyText"/>
      </w:pPr>
      <w:r>
        <w:rPr>
          <w:bCs/>
          <w:b/>
        </w:rPr>
        <w:t xml:space="preserve">9. Заключительные положения</w:t>
      </w:r>
    </w:p>
    <w:p>
      <w:pPr>
        <w:pStyle w:val="BodyText"/>
      </w:pPr>
      <w:r>
        <w:t xml:space="preserve">9.1. Настоящее Положение является обязательным к исполнению всеми собственниками/ арендаторами /нанимателями помещений в МКД.</w:t>
      </w:r>
    </w:p>
    <w:p>
      <w:pPr>
        <w:pStyle w:val="BodyText"/>
      </w:pPr>
      <w:r>
        <w:t xml:space="preserve">9.2. Все правки и изменения к настоящему Положению оформляются письменно.</w:t>
      </w:r>
    </w:p>
    <w:p>
      <w:pPr>
        <w:pStyle w:val="BodyText"/>
      </w:pPr>
      <w:r>
        <w:t xml:space="preserve">9.3. Во всем, что не отражено в тексе настоящего Положения, собственники/арендаторы/наниматели помещений в МКД руководствуются действующим законодательством РФ и Москвы.</w:t>
      </w:r>
    </w:p>
    <w:p>
      <w:pPr>
        <w:pStyle w:val="BodyText"/>
      </w:pPr>
      <w:r>
        <w:t xml:space="preserve">Уполномоченное лицо</w:t>
      </w:r>
    </w:p>
    <w:p>
      <w:pPr>
        <w:pStyle w:val="BodyText"/>
      </w:pPr>
      <w:r>
        <w:t xml:space="preserve">на основании п.8 Протокола ОСС от 08.07.2024г.</w:t>
      </w:r>
    </w:p>
    <w:p>
      <w:pPr>
        <w:pStyle w:val="BodyText"/>
      </w:pPr>
      <w:r>
        <w:t xml:space="preserve">«____» _______________ 2024 г. ___________________/Е.В. Хайруллина/</w:t>
      </w:r>
    </w:p>
    <w:p>
      <w:pPr>
        <w:pStyle w:val="BodyText"/>
      </w:pPr>
      <w:r>
        <w:t xml:space="preserve">(подпись)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http://bv.mos.ru/housing-and-communal-services/detail/12510188.html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bv.mos.ru" TargetMode="External" /><Relationship Type="http://schemas.openxmlformats.org/officeDocument/2006/relationships/hyperlink" Id="rId25" Target="http://bv.mos.ru/housing-and-communal-services/detail/12510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v.mos.ru" TargetMode="External" /><Relationship Type="http://schemas.openxmlformats.org/officeDocument/2006/relationships/hyperlink" Id="rId25" Target="http://bv.mos.ru/housing-and-communal-services/detail/12510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2025-07-11T20:23:56Z</dcterms:created>
  <dcterms:modified xsi:type="dcterms:W3CDTF">2025-07-11T20:23:56Z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