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c66aa256a05b5f616f86241c52f9ca020703fc"/>
    <w:p>
      <w:pPr>
        <w:pStyle w:val="Heading3"/>
      </w:pPr>
      <w:r>
        <w:t xml:space="preserve">Об утверждении Плана действий по ликвидации аварийных ситуаций в системах теплоснабжении, расположенных на территории района Бирюлево Восточное города Москвы, на период отопительного сезона 2025-2026 гг.</w:t>
      </w:r>
    </w:p>
    <w:p>
      <w:pPr>
        <w:pStyle w:val="FirstParagraph"/>
      </w:pPr>
      <w:r>
        <w:t xml:space="preserve">22.04.2025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http://bv.mos.ru/housing-and-communal-services/detail/12929681.html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housing-and-communal-services/detail/1292968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housing-and-communal-services/detail/1292968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2025-08-02T19:27:23Z</dcterms:created>
  <dcterms:modified xsi:type="dcterms:W3CDTF">2025-08-02T19:27:23Z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