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взносах-на-капитальный-ремонт"/>
    <w:p>
      <w:pPr>
        <w:pStyle w:val="Heading3"/>
      </w:pPr>
      <w:r>
        <w:t xml:space="preserve">О взносах на капитальный ремонт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drawing>
          <wp:inline>
            <wp:extent cx="4267200" cy="7016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apremont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7016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http://bv.mos.ru/kapremont/detail/1916231.html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1916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1916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2025-06-07T13:52:37Z</dcterms:created>
  <dcterms:modified xsi:type="dcterms:W3CDTF">2025-06-07T13:52:37Z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