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72b65089f15abec5010d9faa6515b00d34a1a0"/>
    <w:p>
      <w:pPr>
        <w:pStyle w:val="Heading3"/>
      </w:pPr>
      <w:r>
        <w:t xml:space="preserve">При продаже квартиры как будет учитываться уже выплаченная сумма на капремонт?</w:t>
      </w:r>
    </w:p>
    <w:p>
      <w:pPr>
        <w:pStyle w:val="FirstParagraph"/>
      </w:pPr>
      <w:r>
        <w:t xml:space="preserve">19.09.2016</w:t>
      </w:r>
    </w:p>
    <w:p>
      <w:pPr>
        <w:pStyle w:val="BodyText"/>
      </w:pPr>
      <w:r>
        <w:drawing>
          <wp:inline>
            <wp:extent cx="3781425" cy="28384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v.mos.ru/www/upload/medialibrary/0bb/kapremont_nzu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случае смены собственника доля оплаченных денежных средств переходит к новому собственнику. Следовательно, нужно быть внимательными при покупке квартиры на вторичном рынке. При наличии задолженности у продавца обязанность оплатить задолженность за капремонт возникнет у нового собственника, если определенные условия не отрегулированы договором.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http://bv.mos.ru/kapremont/detail/3776577.html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bv.mos.ru" TargetMode="External" /><Relationship Type="http://schemas.openxmlformats.org/officeDocument/2006/relationships/hyperlink" Id="rId23" Target="http://bv.mos.ru/kapremont/detail/37765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v.mos.ru" TargetMode="External" /><Relationship Type="http://schemas.openxmlformats.org/officeDocument/2006/relationships/hyperlink" Id="rId23" Target="http://bv.mos.ru/kapremont/detail/37765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2025-08-03T05:32:59Z</dcterms:created>
  <dcterms:modified xsi:type="dcterms:W3CDTF">2025-08-03T05:32:59Z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