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32f075850919f2be7b826b710e7c21a065be6"/>
    <w:p>
      <w:pPr>
        <w:pStyle w:val="Heading3"/>
      </w:pPr>
      <w:r>
        <w:t xml:space="preserve">Управа района участвует в работе комиссий по открытию и приемке работ по капитальному ремонту многоквартирных домов</w:t>
      </w:r>
    </w:p>
    <w:p>
      <w:pPr>
        <w:pStyle w:val="FirstParagraph"/>
      </w:pPr>
      <w:r>
        <w:t xml:space="preserve">27.06.2018</w:t>
      </w:r>
    </w:p>
    <w:p>
      <w:pPr>
        <w:pStyle w:val="BodyText"/>
      </w:pPr>
      <w:r>
        <w:t xml:space="preserve">Согласно п. 2.1.15, 2.1.15(1) Положения об управе утвержденного Постановлением Правительства Москвы от 24.02.2010 № 157-ПП (ред. от 15.05.2018) «О полномочиях территориальных органов исполнительной власти города Москвы» управа района участвует в работе комиссий по открытию и приемке работ по капитальному ремонту многоквартирных домов, а также осуществляет полномочия органа исполнительной власти города Москвы, ответственного за реализацию региональной программы капитального ремонта общего имущества в многоквартирных домах на территории города Москвы и краткосрочного плана ее реализации, в части участия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многоквартирном доме, оказание и (или) выполнение которых финансируется за счет средств фонда капитального ремонта общего имущества в многоквартирном доме.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http://bv.mos.ru/kapremont/detail/7416021.html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7416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7416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2025-08-03T05:03:14Z</dcterms:created>
  <dcterms:modified xsi:type="dcterms:W3CDTF">2025-08-03T05:03:14Z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