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43fe652fb24f26335286021256b3a6a581726"/>
    <w:p>
      <w:pPr>
        <w:pStyle w:val="Heading3"/>
      </w:pPr>
      <w:r>
        <w:t xml:space="preserve">График работы Многофункциональных Центров предоставления государственных услуг районов города Москвы в новогодние праздничные дни в январе 2016 года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Информируем Вас, что график работы Многофункциональных Центров предоставления государственных услуг районов города Москвы (далее – ЦГУ районов города Москвы) в новогодние праздничные дни в январе 2016 года следующий:</w:t>
      </w:r>
    </w:p>
    <w:p>
      <w:pPr>
        <w:pStyle w:val="BodyText"/>
      </w:pPr>
      <w:r>
        <w:t xml:space="preserve">- с 01 по 08 января – нерабочие и праздничные дни;</w:t>
      </w:r>
    </w:p>
    <w:p>
      <w:pPr>
        <w:pStyle w:val="BodyText"/>
      </w:pPr>
      <w:r>
        <w:t xml:space="preserve">- с 09 января – ЦГУ районов работают в обычном режиме с 08:00 до 20:00 без выходных.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http://bv.mos.ru/mydocs/detail/2407762.html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mydocs/detail/2407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mydocs/detail/2407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2025-08-03T02:00:30Z</dcterms:created>
  <dcterms:modified xsi:type="dcterms:W3CDTF">2025-08-03T02:00:30Z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