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e58f8363921ccb0ec5afb5ee121dafe0fa4c6"/>
    <w:p>
      <w:pPr>
        <w:pStyle w:val="Heading3"/>
      </w:pPr>
      <w:r>
        <w:t xml:space="preserve">Молодежная палата района Бирюлево Восточное посетила встречу с помощницей прокурора по Южному административному округу</w:t>
      </w:r>
    </w:p>
    <w:p>
      <w:pPr>
        <w:pStyle w:val="FirstParagraph"/>
      </w:pPr>
      <w:r>
        <w:t xml:space="preserve">10.03.2024</w:t>
      </w:r>
    </w:p>
    <w:p>
      <w:pPr>
        <w:pStyle w:val="BodyText"/>
      </w:pPr>
      <w:r>
        <w:t xml:space="preserve">Молодежная палата района Бирюлево Восточное посетила встречу с помощницей прокурора по Южному административному округу. Встреча прошла познавательно и интересно. Парламентарии получили ответы на интересующие их вопросы и узнали много нового.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_5433962979491174001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http://bv.mos.ru/palata/detail/12224166.html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224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224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2025-04-10T21:11:22Z</dcterms:created>
  <dcterms:modified xsi:type="dcterms:W3CDTF">2025-04-10T21:11:22Z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