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чередное-заседание-молодежной-палаты."/>
    <w:p>
      <w:pPr>
        <w:pStyle w:val="Heading3"/>
      </w:pPr>
      <w:r>
        <w:t xml:space="preserve">Очередное заседание Молодежной палаты.</w:t>
      </w:r>
    </w:p>
    <w:p>
      <w:pPr>
        <w:pStyle w:val="FirstParagraph"/>
      </w:pPr>
      <w:r>
        <w:t xml:space="preserve">01.04.2024</w:t>
      </w:r>
    </w:p>
    <w:p>
      <w:pPr>
        <w:pStyle w:val="BodyText"/>
      </w:pPr>
      <w:r>
        <w:t xml:space="preserve">29 марта состоялось очередное заседание Молодежной палаты, на котором молодые парламентарии подвели итоги первого квартала 2024 года. В ходе заседания обсудили: идеи интересных мероприятий для жителей нашего района, планы на весенне-летний период, а также свое участие как в мероприятиях городских, окружных, так и в районных.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http://bv.mos.ru/palata/detail/12286371.html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palata/detail/122863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palata/detail/122863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2025-04-08T22:01:12Z</dcterms:created>
  <dcterms:modified xsi:type="dcterms:W3CDTF">2025-04-08T22:01:12Z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