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8896385bf46f09af5556f371194b23b8454f959"/>
    <w:p>
      <w:pPr>
        <w:pStyle w:val="Heading3"/>
      </w:pPr>
      <w:r>
        <w:t xml:space="preserve">Экологический праздник «Синичкин день» в в Бирюлевском дендропарке 14 ноября 2015 года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t xml:space="preserve">14 ноября 2015 года в Бирюлевском дендропарке проведен экологический праздник «Синичкин день».</w:t>
      </w:r>
    </w:p>
    <w:p>
      <w:pPr>
        <w:pStyle w:val="BodyText"/>
      </w:pPr>
      <w:r>
        <w:t xml:space="preserve">Молодежная палата района принимала активное участие в мероприятии. Молодые парламентарии исполняли песню «На всю планету земля», организовывали и проводили различные эстафеты и подвижные игры для всех желающих.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alata/1411201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alata/14112015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palata/14112015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palata/14112015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http://bv.mos.ru/palata/detail/2310521.html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palata/detail/2310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palata/detail/2310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2024-03-11T03:26:38Z</dcterms:created>
  <dcterms:modified xsi:type="dcterms:W3CDTF">2024-03-11T03:26:38Z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