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награждение-молодых-парламентариев"/>
    <w:p>
      <w:pPr>
        <w:pStyle w:val="Heading3"/>
      </w:pPr>
      <w:r>
        <w:t xml:space="preserve">Награждение молодых парламентариев</w:t>
      </w:r>
    </w:p>
    <w:p>
      <w:pPr>
        <w:pStyle w:val="FirstParagraph"/>
      </w:pPr>
      <w:r>
        <w:t xml:space="preserve">14.02.2018</w:t>
      </w:r>
    </w:p>
    <w:p>
      <w:pPr>
        <w:pStyle w:val="BodyText"/>
      </w:pPr>
      <w:r>
        <w:t xml:space="preserve">08.02.2018 в Центре молодежного парламентаризма состоялось награждение активных парламентариев от района Бирюлево Восточное были награждены:</w:t>
      </w:r>
    </w:p>
    <w:p>
      <w:pPr>
        <w:pStyle w:val="BodyText"/>
      </w:pPr>
      <w:r>
        <w:t xml:space="preserve">Терехова Пелагея Игоревна и Маркова Дарья Александровна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resscenter/mp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991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resscenter/mp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9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http://bv.mos.ru/palata/detail/7146448.html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7146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7146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2024-08-10T05:23:43Z</dcterms:created>
  <dcterms:modified xsi:type="dcterms:W3CDTF">2024-08-10T05:23:43Z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