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день-скворца"/>
    <w:p>
      <w:pPr>
        <w:pStyle w:val="Heading3"/>
      </w:pPr>
      <w:r>
        <w:t xml:space="preserve">«День скворца»</w:t>
      </w:r>
    </w:p>
    <w:p>
      <w:pPr>
        <w:pStyle w:val="FirstParagraph"/>
      </w:pPr>
      <w:r>
        <w:t xml:space="preserve">18.04.2019</w:t>
      </w:r>
    </w:p>
    <w:p>
      <w:pPr>
        <w:pStyle w:val="BodyText"/>
      </w:pPr>
      <w:r>
        <w:t xml:space="preserve">18 апреля 2019 года в Яблоневом саду по адресу: Бирюлевская ул., д. 52, Молодежной палатой района Бирюлево Восточное и Общественными советниками главы управы были установлены три скворечника.</w:t>
      </w:r>
    </w:p>
    <w:p>
      <w:pPr>
        <w:pStyle w:val="BodyText"/>
      </w:pPr>
      <w:r>
        <w:t xml:space="preserve">В скором времени три семьи скворцов справят новоселье!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День%20скворц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405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День%20скворца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http://bv.mos.ru/palata/detail/8031957.html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8031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8031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2025-07-26T11:09:43Z</dcterms:created>
  <dcterms:modified xsi:type="dcterms:W3CDTF">2025-07-26T11:09:43Z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