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8718e954c44eb15ebec1b73e8cc9f2065403d"/>
    <w:p>
      <w:pPr>
        <w:pStyle w:val="Heading3"/>
      </w:pPr>
      <w:r>
        <w:t xml:space="preserve">В управе района Бирюлево Восточное прошло заседание молодежной палаты с куратором южного административного округа</w:t>
      </w:r>
    </w:p>
    <w:p>
      <w:pPr>
        <w:pStyle w:val="FirstParagraph"/>
      </w:pPr>
      <w:r>
        <w:t xml:space="preserve">24.07.2020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c1e9057c-ef49-46c9-a53d-de815dc0781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http://bv.mos.ru/palata/detail/9056175.html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056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056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2025-07-25T02:41:19Z</dcterms:created>
  <dcterms:modified xsi:type="dcterms:W3CDTF">2025-07-25T02:41:19Z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