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a0bb0743134a62c32edb6fa4c2a94f32f8734"/>
    <w:p>
      <w:pPr>
        <w:pStyle w:val="Heading3"/>
      </w:pPr>
      <w:r>
        <w:t xml:space="preserve">Большие свершения начинаются с грамотного планирования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t xml:space="preserve">19.10.2020 в ЦМП прошло рабочее заседание Общественной молодежной палаты ЮАО. Начинающие парламентарии подвели итоги работы с начала года и наметили к реализации план на ближайшие два месяца.</w:t>
      </w:r>
    </w:p>
    <w:p>
      <w:pPr>
        <w:pStyle w:val="BodyText"/>
      </w:pPr>
      <w:r>
        <w:drawing>
          <wp:inline>
            <wp:extent cx="5334000" cy="39486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Безымяннббюый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86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http://bv.mos.ru/palata/detail/9341081.html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341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9341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2025-04-08T23:41:44Z</dcterms:created>
  <dcterms:modified xsi:type="dcterms:W3CDTF">2025-04-08T23:41:44Z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