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3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8" w:name="о-сахаре-в-продуктах-питания"/>
    <w:p>
      <w:pPr>
        <w:pStyle w:val="Heading3"/>
      </w:pPr>
      <w:r>
        <w:t xml:space="preserve">О сахаре в продуктах питания</w:t>
      </w:r>
    </w:p>
    <w:p>
      <w:pPr>
        <w:pStyle w:val="FirstParagraph"/>
      </w:pPr>
      <w:r>
        <w:t xml:space="preserve">11.01.2022</w:t>
      </w:r>
    </w:p>
    <w:p>
      <w:pPr>
        <w:pStyle w:val="BodyText"/>
      </w:pPr>
      <w:r>
        <w:t xml:space="preserve">Роспотребнадзор напоминает, что во фруктах, овощах и молочных продуктах тоже содержатся свои сахара, при этом они, как правило, не представляют угрозы. Это связано с тем, что углеводы естественного происхождения, как правило, невозможно поглощать в больших количествах. Сладкие фрукты компенсируют обилие фруктозы и глюкозы клетчаткой, витаминами и минералами, поэтому имеют низкую энергетическую плотность. Лактоза (молочный сахар) вредна только для аллергиков.</w:t>
      </w:r>
    </w:p>
    <w:p>
      <w:pPr>
        <w:pStyle w:val="BodyText"/>
      </w:pPr>
      <w:r>
        <w:t xml:space="preserve">Потребление сахара в России в полтора раза ниже чем в США, на 11% выше, чем в Германии, и вдвое выше, чем в Японии. В среднем один россиянин съедает 107 г в сутки или 39 кг в год. Значительная часть сахаров, потребляемых сегодня, содержатся в переработанных пищевых продуктах, которые обычно не считаются сладостями. Например, в 1 столовой ложке кетчупа содержатся примерно 4 грамма (около 1 чайной ложки) свободных сахаров. Одна банка подслащенного сахаром газированного напитка, содержит до 40 граммов (около 10 чайных ложек) свободных сахаров.</w:t>
      </w:r>
    </w:p>
    <w:p>
      <w:pPr>
        <w:pStyle w:val="BodyText"/>
      </w:pPr>
      <w:r>
        <w:t xml:space="preserve">Исследования показывают, что дети с максимальным потреблением сахаросодержащих напитков с большей вероятностью страдают избыточным весом или ожирением, чем дети, мало потребляющие сахаросодержащих напитков.</w:t>
      </w:r>
    </w:p>
    <w:p>
      <w:pPr>
        <w:pStyle w:val="BodyText"/>
      </w:pPr>
      <w:r>
        <w:t xml:space="preserve">Всемирная организация здравоохранения рекомендует взрослым и детям сократить ежедневное потребление свободных сахаров до менее чем 10% от своего суммарного энергопотребления. Дальнейшее сокращение до менее чем 5% или примерно 25 граммов (6 чайных ложек) в день принесет дополнительную пользу для здоровья. Потребление свободных сахаров на уровне менее 10% от суммарного энергопотребления ослабляет риск избыточного веса, ожирения и кариеса и других неинфекционных заболеваний.</w:t>
      </w:r>
    </w:p>
    <w:p>
      <w:pPr>
        <w:pStyle w:val="BodyText"/>
      </w:pPr>
      <w:r>
        <w:t xml:space="preserve">Организации по охране здоровья настоятельно советуют ограничить употребление сахара, как в чистом виде, так и в составе кондитерских изделий, сладких напитков, подслащенных продуктов (йогуртов, творожных масс и т. п.), а также естественного сахара в составе меда, сиропов и фруктовых соков. Однако эти рекомендации не распространяются на естественный сахар в составе цельных фруктов.</w:t>
      </w:r>
    </w:p>
    <w:p>
      <w:pPr>
        <w:pStyle w:val="BodyText"/>
      </w:pPr>
      <w:r>
        <w:t xml:space="preserve">Самый простой способ избежать скрытого сахара в продуктах – внимательно проверять количество калорий и изучать состав. Кроме того, необходимо как можно реже питаться готовой едой и полуфабрикатами. Стоит помнить, что для чтобы скрыть наличие сахара в продукте, на этикетке указывают эквивалентные ему ингредиенты: ячменный солод, кукурузный подсластитель, кристаллическая фруктоза, мальтодекстрин; мальтоза и др.</w:t>
      </w:r>
    </w:p>
    <w:p>
      <w:pPr>
        <w:pStyle w:val="BodyText"/>
      </w:pPr>
      <w:r>
        <w:rPr>
          <w:iCs/>
          <w:i/>
        </w:rPr>
        <w:t xml:space="preserve">В рамках реализации мероприятий национального проекта «Демография» Роспотребнадзор продолжает продвижение принципов здорового питания и создание в России среды, способствующей ведению здорового образа жизни. Внедряется система мониторинга за состоянием питания различных групп населения в регионах, в том числе детей, основанная на результатах научных исследований в области нутрициологии, диетологии и эпидемиологии, а также связывающая здоровье населения со структурой питания и качеством пищевой продукции.</w:t>
      </w:r>
    </w:p>
    <w:p>
      <w:pPr>
        <w:pStyle w:val="BodyText"/>
      </w:pPr>
      <w:r>
        <w:rPr>
          <w:iCs/>
          <w:i/>
        </w:rPr>
        <w:t xml:space="preserve">Дополнительная информация о федеральном проекте "Укрепление общественного здоровья", рекомендации Роспотребнадзора, полезные статьи и интервью экспертов по здоровому питанию уже доступны на портале​</w:t>
      </w:r>
      <w:r>
        <w:t xml:space="preserve"> </w:t>
      </w:r>
      <w:hyperlink r:id="rId20">
        <w:r>
          <w:rPr>
            <w:rStyle w:val="Hyperlink"/>
          </w:rPr>
          <w:t xml:space="preserve">"Здоровое питание"</w:t>
        </w:r>
      </w:hyperlink>
    </w:p>
    <w:p>
      <w:pPr>
        <w:pStyle w:val="BodyText"/>
      </w:pPr>
      <w:r>
        <w:rPr>
          <w:iCs/>
          <w:i/>
        </w:rPr>
        <w:t xml:space="preserve">По</w:t>
      </w:r>
      <w:r>
        <w:t xml:space="preserve"> </w:t>
      </w:r>
      <w:hyperlink r:id="rId21">
        <w:r>
          <w:rPr>
            <w:rStyle w:val="Hyperlink"/>
            <w:iCs/>
            <w:i/>
          </w:rPr>
          <w:t xml:space="preserve">материалам</w:t>
        </w:r>
      </w:hyperlink>
      <w:r>
        <w:t xml:space="preserve"> </w:t>
      </w:r>
      <w:bookmarkStart w:id="22" w:name="X1207a264b4c9f4df21fde20366a046b31aef217"/>
      <w:bookmarkEnd w:id="22"/>
      <w:r>
        <w:t xml:space="preserve"> </w:t>
      </w:r>
      <w:r>
        <w:rPr>
          <w:iCs/>
          <w:i/>
        </w:rPr>
        <w:t xml:space="preserve">Управления Федеральной службы по надзору в сфере защиты прав потребителей и благополучия человека по г.Москве</w:t>
      </w:r>
    </w:p>
    <w:p>
      <w:pPr>
        <w:pStyle w:val="BodyText"/>
      </w:pPr>
      <w:r>
        <w:drawing>
          <wp:inline>
            <wp:extent cx="5334000" cy="2690706"/>
            <wp:effectExtent b="0" l="0" r="0" t="0"/>
            <wp:docPr descr="" title="" id="24" name="Picture"/>
            <a:graphic>
              <a:graphicData uri="http://schemas.openxmlformats.org/drawingml/2006/picture">
                <pic:pic>
                  <pic:nvPicPr>
                    <pic:cNvPr descr="/mnt/u01/sites/bv.mos.ru/www/префектура%2007071%20от%2007.12.2021%20приложение%201.jp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69070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6">
        <w:r>
          <w:rPr>
            <w:rStyle w:val="Hyperlink"/>
          </w:rPr>
          <w:t xml:space="preserve">http://bv.mos.ru/rospotrebnadzor-informs/detail/10524888.html</w:t>
        </w:r>
      </w:hyperlink>
    </w:p>
    <w:p>
      <w:pPr>
        <w:pStyle w:val="BodyText"/>
      </w:pPr>
      <w:hyperlink r:id="rId27">
        <w:r>
          <w:rPr>
            <w:rStyle w:val="Hyperlink"/>
          </w:rPr>
          <w:t xml:space="preserve">Управа района Бирюлево Восточное города Москвы</w:t>
        </w:r>
      </w:hyperlink>
    </w:p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3" Target="media/rId23.jpg" /><Relationship Type="http://schemas.openxmlformats.org/officeDocument/2006/relationships/hyperlink" Id="rId27" Target="http://bv.mos.ru" TargetMode="External" /><Relationship Type="http://schemas.openxmlformats.org/officeDocument/2006/relationships/hyperlink" Id="rId26" Target="http://bv.mos.ru/rospotrebnadzor-informs/detail/10524888.html" TargetMode="External" /><Relationship Type="http://schemas.openxmlformats.org/officeDocument/2006/relationships/hyperlink" Id="rId21" Target="https://77.rospotrebnadzor.ru/index.php/press-centr/186-press-centr/10296-o-sakhare-v-produktakh-pitaniya" TargetMode="External" /><Relationship Type="http://schemas.openxmlformats.org/officeDocument/2006/relationships/hyperlink" Id="rId20" Target="https://xn----8sbehgcimb3cfabqj3b.xn--p1ai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7" Target="http://bv.mos.ru" TargetMode="External" /><Relationship Type="http://schemas.openxmlformats.org/officeDocument/2006/relationships/hyperlink" Id="rId26" Target="http://bv.mos.ru/rospotrebnadzor-informs/detail/10524888.html" TargetMode="External" /><Relationship Type="http://schemas.openxmlformats.org/officeDocument/2006/relationships/hyperlink" Id="rId21" Target="https://77.rospotrebnadzor.ru/index.php/press-centr/186-press-centr/10296-o-sakhare-v-produktakh-pitaniya" TargetMode="External" /><Relationship Type="http://schemas.openxmlformats.org/officeDocument/2006/relationships/hyperlink" Id="rId20" Target="https://xn----8sbehgcimb3cfabqj3b.xn--p1ai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2025-07-30T15:33:41Z</dcterms:created>
  <dcterms:modified xsi:type="dcterms:W3CDTF">2025-07-30T15:33:41Z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