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f51331ef4f9146ddb9dd142ccc9beec472b7602"/>
    <w:p>
      <w:pPr>
        <w:pStyle w:val="Heading3"/>
      </w:pPr>
      <w:r>
        <w:t xml:space="preserve">Социально-реабилитационные центры для несовершеннолетних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drawing>
          <wp:inline>
            <wp:extent cx="5334000" cy="75252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ocial-sphere/стр.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5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03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social-sphere/стр.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0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1803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social-sphere/стр.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80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642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social-sphere/стр.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287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v.mos.ru/www/social-sphere/стр.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2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v.mos.ru/www/social-sphere/стр.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212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v.mos.ru/www/social-sphere/стр.6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2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92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v.mos.ru/www/social-sphere/стр.7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http://bv.mos.ru/social-sphere/detail/1534079.html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bv.mos.ru" TargetMode="External" /><Relationship Type="http://schemas.openxmlformats.org/officeDocument/2006/relationships/hyperlink" Id="rId44" Target="http://bv.mos.ru/social-sphere/detail/1534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bv.mos.ru" TargetMode="External" /><Relationship Type="http://schemas.openxmlformats.org/officeDocument/2006/relationships/hyperlink" Id="rId44" Target="http://bv.mos.ru/social-sphere/detail/1534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2024-04-23T14:46:12Z</dcterms:created>
  <dcterms:modified xsi:type="dcterms:W3CDTF">2024-04-23T14:46:12Z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