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защите-детских-персональных-данных"/>
    <w:p>
      <w:pPr>
        <w:pStyle w:val="Heading3"/>
      </w:pPr>
      <w:r>
        <w:t xml:space="preserve">О защите детских персональных данных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Видеоролик о защите детских персональных данных</w:t>
      </w:r>
    </w:p>
    <w:p>
      <w:pPr>
        <w:pStyle w:val="BodyText"/>
      </w:pPr>
      <w:r>
        <w:t xml:space="preserve">доступен по ссылке</w:t>
      </w:r>
      <w:r>
        <w:br/>
      </w:r>
      <w:r>
        <w:t xml:space="preserve"> 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https://www.youtube.com/watch?v=xmyCmQKP-JI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http://bv.mos.ru/social-sphere/detail/4693961.html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4693961.html" TargetMode="External" /><Relationship Type="http://schemas.openxmlformats.org/officeDocument/2006/relationships/hyperlink" Id="rId20" Target="https://www.youtube.com/watch?v=xmyCmQKP-J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4693961.html" TargetMode="External" /><Relationship Type="http://schemas.openxmlformats.org/officeDocument/2006/relationships/hyperlink" Id="rId20" Target="https://www.youtube.com/watch?v=xmyCmQKP-J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2025-07-18T14:22:37Z</dcterms:created>
  <dcterms:modified xsi:type="dcterms:W3CDTF">2025-07-18T14:22:37Z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